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30C" w:rsidRPr="007722EB" w:rsidRDefault="00BD030C" w:rsidP="00BD030C">
      <w:pPr>
        <w:jc w:val="center"/>
        <w:rPr>
          <w:rFonts w:cs="Times New Roman"/>
          <w:b/>
          <w:smallCaps/>
          <w:sz w:val="40"/>
          <w:szCs w:val="40"/>
          <w:u w:val="single"/>
        </w:rPr>
      </w:pPr>
      <w:r w:rsidRPr="007722EB">
        <w:rPr>
          <w:rFonts w:cs="Times New Roman"/>
          <w:b/>
          <w:smallCaps/>
          <w:sz w:val="40"/>
          <w:szCs w:val="40"/>
          <w:u w:val="single"/>
        </w:rPr>
        <w:t>Division 15 Administrative Procedures</w:t>
      </w:r>
    </w:p>
    <w:p w:rsidR="00BD030C" w:rsidRPr="00F1665C" w:rsidRDefault="00BD030C" w:rsidP="00BD030C">
      <w:pPr>
        <w:rPr>
          <w:rFonts w:cs="Times New Roman"/>
          <w:sz w:val="25"/>
          <w:szCs w:val="25"/>
        </w:rPr>
      </w:pPr>
    </w:p>
    <w:p w:rsidR="00BD030C" w:rsidRPr="00C96DA5" w:rsidRDefault="00BD030C" w:rsidP="00BD030C">
      <w:pPr>
        <w:pStyle w:val="ListParagraph"/>
        <w:numPr>
          <w:ilvl w:val="0"/>
          <w:numId w:val="2"/>
        </w:numPr>
        <w:rPr>
          <w:rFonts w:cs="Times New Roman"/>
          <w:bCs/>
          <w:sz w:val="24"/>
          <w:szCs w:val="24"/>
        </w:rPr>
      </w:pPr>
      <w:r w:rsidRPr="00C96DA5">
        <w:rPr>
          <w:rFonts w:cs="Times New Roman"/>
          <w:b/>
          <w:bCs/>
          <w:sz w:val="24"/>
          <w:szCs w:val="24"/>
          <w:u w:val="single"/>
        </w:rPr>
        <w:t>Communications with the Court</w:t>
      </w:r>
      <w:r w:rsidRPr="00C96DA5">
        <w:rPr>
          <w:rFonts w:cs="Times New Roman"/>
          <w:bCs/>
          <w:sz w:val="24"/>
          <w:szCs w:val="24"/>
        </w:rPr>
        <w:t xml:space="preserve">. </w:t>
      </w:r>
      <w:r w:rsidRPr="00C96DA5">
        <w:rPr>
          <w:rFonts w:cs="Times New Roman"/>
          <w:sz w:val="24"/>
          <w:szCs w:val="24"/>
        </w:rPr>
        <w:t>All communications with the Court should be through the Administrative Assistant, who will provide any instructions for parties, represented by counsel or otherwise, that are not provided in these guidelines</w:t>
      </w:r>
      <w:r w:rsidRPr="00C96DA5">
        <w:rPr>
          <w:rFonts w:cs="Times New Roman"/>
          <w:bCs/>
          <w:sz w:val="24"/>
          <w:szCs w:val="24"/>
        </w:rPr>
        <w:t xml:space="preserve">. </w:t>
      </w:r>
    </w:p>
    <w:p w:rsidR="00BD030C" w:rsidRPr="00C96DA5" w:rsidRDefault="00BD030C" w:rsidP="00BD030C">
      <w:pPr>
        <w:pStyle w:val="ListParagraph"/>
        <w:rPr>
          <w:rFonts w:cs="Times New Roman"/>
          <w:bCs/>
          <w:sz w:val="24"/>
          <w:szCs w:val="24"/>
        </w:rPr>
      </w:pPr>
    </w:p>
    <w:p w:rsidR="00BD030C" w:rsidRPr="00C96DA5" w:rsidRDefault="00BD030C" w:rsidP="00BD030C">
      <w:pPr>
        <w:pStyle w:val="ListParagraph"/>
        <w:numPr>
          <w:ilvl w:val="0"/>
          <w:numId w:val="2"/>
        </w:numPr>
        <w:rPr>
          <w:rFonts w:cs="Times New Roman"/>
          <w:sz w:val="24"/>
          <w:szCs w:val="24"/>
        </w:rPr>
      </w:pPr>
      <w:r w:rsidRPr="00C96DA5">
        <w:rPr>
          <w:rFonts w:cs="Times New Roman"/>
          <w:b/>
          <w:sz w:val="24"/>
          <w:szCs w:val="24"/>
          <w:u w:val="single"/>
        </w:rPr>
        <w:t>Setting Hearings</w:t>
      </w:r>
      <w:r w:rsidRPr="00C96DA5">
        <w:rPr>
          <w:rFonts w:cs="Times New Roman"/>
          <w:sz w:val="24"/>
          <w:szCs w:val="24"/>
        </w:rPr>
        <w:t>.  When court dates need to be set for hearings, counsel</w:t>
      </w:r>
      <w:r>
        <w:rPr>
          <w:rFonts w:cs="Times New Roman"/>
          <w:sz w:val="24"/>
          <w:szCs w:val="24"/>
        </w:rPr>
        <w:t>/party</w:t>
      </w:r>
      <w:r w:rsidRPr="00C96DA5">
        <w:rPr>
          <w:rFonts w:cs="Times New Roman"/>
          <w:sz w:val="24"/>
          <w:szCs w:val="24"/>
        </w:rPr>
        <w:t xml:space="preserve"> </w:t>
      </w:r>
      <w:r>
        <w:rPr>
          <w:rFonts w:cs="Times New Roman"/>
          <w:sz w:val="24"/>
          <w:szCs w:val="24"/>
        </w:rPr>
        <w:t>should</w:t>
      </w:r>
      <w:r w:rsidRPr="00C96DA5">
        <w:rPr>
          <w:rFonts w:cs="Times New Roman"/>
          <w:sz w:val="24"/>
          <w:szCs w:val="24"/>
        </w:rPr>
        <w:t xml:space="preserve"> contact Division 15’s AA, Josephine Gonzalez, and speak with her about getting a date and time for the hearing </w:t>
      </w:r>
      <w:r w:rsidRPr="00C96DA5">
        <w:rPr>
          <w:rFonts w:cs="Times New Roman"/>
          <w:b/>
          <w:sz w:val="24"/>
          <w:szCs w:val="24"/>
          <w:u w:val="single"/>
        </w:rPr>
        <w:t>before</w:t>
      </w:r>
      <w:r w:rsidRPr="00C96DA5">
        <w:rPr>
          <w:rFonts w:cs="Times New Roman"/>
          <w:sz w:val="24"/>
          <w:szCs w:val="24"/>
        </w:rPr>
        <w:t xml:space="preserve"> submitting the paperwork to the Judge for review and signature on orders setting hearings.  Counsel, not Division 15, is responsible to ensure that the date of any hearing is statutory compliant.  </w:t>
      </w:r>
    </w:p>
    <w:p w:rsidR="00BD030C" w:rsidRPr="00C96DA5" w:rsidRDefault="00BD030C" w:rsidP="00BD030C">
      <w:pPr>
        <w:pStyle w:val="ListParagraph"/>
        <w:rPr>
          <w:rFonts w:cs="Times New Roman"/>
          <w:bCs/>
          <w:sz w:val="24"/>
          <w:szCs w:val="24"/>
        </w:rPr>
      </w:pPr>
    </w:p>
    <w:p w:rsidR="00BD030C" w:rsidRPr="00C96DA5" w:rsidRDefault="00BD030C" w:rsidP="00BD030C">
      <w:pPr>
        <w:pStyle w:val="ListParagraph"/>
        <w:numPr>
          <w:ilvl w:val="0"/>
          <w:numId w:val="2"/>
        </w:numPr>
        <w:rPr>
          <w:rFonts w:cs="Times New Roman"/>
          <w:bCs/>
          <w:sz w:val="24"/>
          <w:szCs w:val="24"/>
        </w:rPr>
      </w:pPr>
      <w:r w:rsidRPr="00C96DA5">
        <w:rPr>
          <w:rFonts w:cs="Times New Roman"/>
          <w:b/>
          <w:bCs/>
          <w:sz w:val="24"/>
          <w:szCs w:val="24"/>
          <w:u w:val="single"/>
        </w:rPr>
        <w:t>Punctuality</w:t>
      </w:r>
      <w:r w:rsidRPr="00C96DA5">
        <w:rPr>
          <w:rFonts w:cs="Times New Roman"/>
          <w:bCs/>
          <w:sz w:val="24"/>
          <w:szCs w:val="24"/>
        </w:rPr>
        <w:t xml:space="preserve">. </w:t>
      </w:r>
      <w:r w:rsidRPr="00C96DA5">
        <w:rPr>
          <w:rFonts w:cs="Times New Roman"/>
          <w:sz w:val="24"/>
          <w:szCs w:val="24"/>
        </w:rPr>
        <w:t xml:space="preserve">The Court reserves the right to rule on a matter if counsel or a party fails to show up for a hearing on time. However, the Court understands that in some instances counsel or a party may be held up or unable to attend a scheduled hearing. If you cannot attend or are running late, please immediately call the Division 15’s AA, Josephine Gonzalez, (913) 715-3890 or 3891, to let the Court know you will be late or cannot attend, and the reason for the same.  </w:t>
      </w:r>
    </w:p>
    <w:p w:rsidR="00BD030C" w:rsidRPr="00C96DA5" w:rsidRDefault="00BD030C" w:rsidP="00BD030C">
      <w:pPr>
        <w:pStyle w:val="ListParagraph"/>
        <w:rPr>
          <w:rFonts w:cs="Times New Roman"/>
          <w:bCs/>
          <w:sz w:val="24"/>
          <w:szCs w:val="24"/>
        </w:rPr>
      </w:pPr>
    </w:p>
    <w:p w:rsidR="00BD030C" w:rsidRPr="00C96DA5" w:rsidRDefault="00BD030C" w:rsidP="00BD030C">
      <w:pPr>
        <w:pStyle w:val="ListParagraph"/>
        <w:numPr>
          <w:ilvl w:val="0"/>
          <w:numId w:val="2"/>
        </w:numPr>
        <w:rPr>
          <w:rFonts w:cs="Times New Roman"/>
          <w:sz w:val="24"/>
          <w:szCs w:val="24"/>
        </w:rPr>
      </w:pPr>
      <w:r w:rsidRPr="00C96DA5">
        <w:rPr>
          <w:rFonts w:cs="Times New Roman"/>
          <w:b/>
          <w:sz w:val="24"/>
          <w:szCs w:val="24"/>
          <w:u w:val="single"/>
        </w:rPr>
        <w:t>Court Filings</w:t>
      </w:r>
      <w:r w:rsidRPr="00C96DA5">
        <w:rPr>
          <w:rFonts w:cs="Times New Roman"/>
          <w:sz w:val="24"/>
          <w:szCs w:val="24"/>
        </w:rPr>
        <w:t xml:space="preserve">.  If you wish to have papers filed with the clerk’s office, please send them directly to the clerk’s office for filing.  Division 15 does not enter filings in the court’s record and not in the practice of sending papers received in chambers to the clerk’s office </w:t>
      </w:r>
      <w:r>
        <w:rPr>
          <w:rFonts w:cs="Times New Roman"/>
          <w:sz w:val="24"/>
          <w:szCs w:val="24"/>
        </w:rPr>
        <w:t>for filing</w:t>
      </w:r>
      <w:r w:rsidRPr="00C96DA5">
        <w:rPr>
          <w:rFonts w:cs="Times New Roman"/>
          <w:sz w:val="24"/>
          <w:szCs w:val="24"/>
        </w:rPr>
        <w:t xml:space="preserve">.  </w:t>
      </w:r>
      <w:r>
        <w:rPr>
          <w:rFonts w:cs="Times New Roman"/>
          <w:sz w:val="24"/>
          <w:szCs w:val="24"/>
        </w:rPr>
        <w:t xml:space="preserve">Attorneys, </w:t>
      </w:r>
      <w:r w:rsidRPr="00C96DA5">
        <w:rPr>
          <w:rFonts w:cs="Times New Roman"/>
          <w:sz w:val="24"/>
          <w:szCs w:val="24"/>
        </w:rPr>
        <w:t xml:space="preserve">Division 15 </w:t>
      </w:r>
      <w:r w:rsidRPr="00C96DA5">
        <w:rPr>
          <w:rFonts w:cs="Times New Roman"/>
          <w:b/>
          <w:sz w:val="24"/>
          <w:szCs w:val="24"/>
          <w:u w:val="single"/>
        </w:rPr>
        <w:t>does not</w:t>
      </w:r>
      <w:r w:rsidRPr="00C96DA5">
        <w:rPr>
          <w:rFonts w:cs="Times New Roman"/>
          <w:sz w:val="24"/>
          <w:szCs w:val="24"/>
        </w:rPr>
        <w:t xml:space="preserve"> </w:t>
      </w:r>
      <w:r>
        <w:rPr>
          <w:rFonts w:cs="Times New Roman"/>
          <w:sz w:val="24"/>
          <w:szCs w:val="24"/>
        </w:rPr>
        <w:t xml:space="preserve">make it a practice to </w:t>
      </w:r>
      <w:r w:rsidRPr="00C96DA5">
        <w:rPr>
          <w:rFonts w:cs="Times New Roman"/>
          <w:sz w:val="24"/>
          <w:szCs w:val="24"/>
        </w:rPr>
        <w:t xml:space="preserve">look at </w:t>
      </w:r>
      <w:r>
        <w:rPr>
          <w:rFonts w:cs="Times New Roman"/>
          <w:sz w:val="24"/>
          <w:szCs w:val="24"/>
        </w:rPr>
        <w:t>petitions/</w:t>
      </w:r>
      <w:r w:rsidRPr="00C96DA5">
        <w:rPr>
          <w:rFonts w:cs="Times New Roman"/>
          <w:sz w:val="24"/>
          <w:szCs w:val="24"/>
        </w:rPr>
        <w:t xml:space="preserve">motions and/or other court filings </w:t>
      </w:r>
      <w:r>
        <w:rPr>
          <w:rFonts w:cs="Times New Roman"/>
          <w:sz w:val="24"/>
          <w:szCs w:val="24"/>
        </w:rPr>
        <w:t>before they are filed to confirm accuracy or completeness</w:t>
      </w:r>
      <w:r w:rsidRPr="00C96DA5">
        <w:rPr>
          <w:rFonts w:cs="Times New Roman"/>
          <w:sz w:val="24"/>
          <w:szCs w:val="24"/>
        </w:rPr>
        <w:t xml:space="preserve">.  </w:t>
      </w:r>
    </w:p>
    <w:p w:rsidR="00BD030C" w:rsidRPr="00C96DA5" w:rsidRDefault="00BD030C" w:rsidP="00BD030C">
      <w:pPr>
        <w:pStyle w:val="ListParagraph"/>
        <w:rPr>
          <w:rFonts w:cs="Times New Roman"/>
          <w:sz w:val="24"/>
          <w:szCs w:val="24"/>
        </w:rPr>
      </w:pPr>
    </w:p>
    <w:p w:rsidR="00BD030C" w:rsidRDefault="00BD030C" w:rsidP="00BD030C">
      <w:pPr>
        <w:pStyle w:val="ListParagraph"/>
        <w:numPr>
          <w:ilvl w:val="1"/>
          <w:numId w:val="2"/>
        </w:numPr>
        <w:rPr>
          <w:rFonts w:cs="Times New Roman"/>
          <w:sz w:val="24"/>
          <w:szCs w:val="24"/>
        </w:rPr>
      </w:pPr>
      <w:r w:rsidRPr="00C96DA5">
        <w:rPr>
          <w:rFonts w:cs="Times New Roman"/>
          <w:sz w:val="24"/>
          <w:szCs w:val="24"/>
        </w:rPr>
        <w:t xml:space="preserve">If you wish for Division 15 to have a courtesy copy of what is filed, please </w:t>
      </w:r>
      <w:r>
        <w:rPr>
          <w:rFonts w:cs="Times New Roman"/>
          <w:sz w:val="24"/>
          <w:szCs w:val="24"/>
        </w:rPr>
        <w:t>submit a courtesy copy to</w:t>
      </w:r>
      <w:r w:rsidRPr="00C96DA5">
        <w:rPr>
          <w:rFonts w:cs="Times New Roman"/>
          <w:sz w:val="24"/>
          <w:szCs w:val="24"/>
        </w:rPr>
        <w:t xml:space="preserve"> Division 15</w:t>
      </w:r>
      <w:r>
        <w:rPr>
          <w:rFonts w:cs="Times New Roman"/>
          <w:sz w:val="24"/>
          <w:szCs w:val="24"/>
        </w:rPr>
        <w:t>; you may be able to send a courtesy copy through the efiling system</w:t>
      </w:r>
      <w:r w:rsidRPr="00C96DA5">
        <w:rPr>
          <w:rFonts w:cs="Times New Roman"/>
          <w:sz w:val="24"/>
          <w:szCs w:val="24"/>
        </w:rPr>
        <w:t xml:space="preserve">.  </w:t>
      </w:r>
    </w:p>
    <w:p w:rsidR="00BD030C" w:rsidRPr="00C96DA5" w:rsidRDefault="00BD030C" w:rsidP="00BD030C">
      <w:pPr>
        <w:pStyle w:val="ListParagraph"/>
        <w:numPr>
          <w:ilvl w:val="1"/>
          <w:numId w:val="2"/>
        </w:numPr>
        <w:rPr>
          <w:rFonts w:cs="Times New Roman"/>
          <w:sz w:val="24"/>
          <w:szCs w:val="24"/>
        </w:rPr>
      </w:pPr>
      <w:r>
        <w:rPr>
          <w:rFonts w:cs="Times New Roman"/>
          <w:sz w:val="24"/>
          <w:szCs w:val="24"/>
        </w:rPr>
        <w:t>Please note that Division 15 does not automatically become aware that something is/was filed with the clerk’s office.  If you wish Division 15 to be aware of a court filing before the time of the hearing, you should provide a courtesy copy.</w:t>
      </w:r>
    </w:p>
    <w:p w:rsidR="00BD030C" w:rsidRPr="00C96DA5" w:rsidRDefault="00BD030C" w:rsidP="00BD030C">
      <w:pPr>
        <w:pStyle w:val="ListParagraph"/>
        <w:rPr>
          <w:rFonts w:cs="Times New Roman"/>
          <w:sz w:val="24"/>
          <w:szCs w:val="24"/>
        </w:rPr>
      </w:pPr>
    </w:p>
    <w:p w:rsidR="00BD030C" w:rsidRPr="00C96DA5" w:rsidRDefault="00BD030C" w:rsidP="00BD030C">
      <w:pPr>
        <w:pStyle w:val="ListParagraph"/>
        <w:numPr>
          <w:ilvl w:val="0"/>
          <w:numId w:val="2"/>
        </w:numPr>
        <w:autoSpaceDE w:val="0"/>
        <w:autoSpaceDN w:val="0"/>
        <w:adjustRightInd w:val="0"/>
        <w:rPr>
          <w:rFonts w:cs="Times New Roman"/>
          <w:sz w:val="24"/>
          <w:szCs w:val="24"/>
        </w:rPr>
      </w:pPr>
      <w:r w:rsidRPr="00C96DA5">
        <w:rPr>
          <w:rFonts w:cs="Times New Roman"/>
          <w:b/>
          <w:bCs/>
          <w:sz w:val="24"/>
          <w:szCs w:val="24"/>
          <w:u w:val="single"/>
        </w:rPr>
        <w:t>Local Court Rules</w:t>
      </w:r>
      <w:r w:rsidRPr="00C96DA5">
        <w:rPr>
          <w:rFonts w:cs="Times New Roman"/>
          <w:bCs/>
          <w:sz w:val="24"/>
          <w:szCs w:val="24"/>
        </w:rPr>
        <w:t xml:space="preserve">. </w:t>
      </w:r>
      <w:r w:rsidRPr="00C96DA5">
        <w:rPr>
          <w:rFonts w:cs="Times New Roman"/>
          <w:sz w:val="24"/>
          <w:szCs w:val="24"/>
        </w:rPr>
        <w:t xml:space="preserve">Please check the local court rules as to more specific questions on briefing guidelines, withdrawals from representation, reasonable times for deposition notices (five days), case assignments, etc. The link is as follows: </w:t>
      </w:r>
      <w:hyperlink r:id="rId6" w:history="1">
        <w:r w:rsidRPr="00C96DA5">
          <w:rPr>
            <w:rStyle w:val="Hyperlink"/>
            <w:rFonts w:cs="Times New Roman"/>
            <w:sz w:val="24"/>
            <w:szCs w:val="24"/>
          </w:rPr>
          <w:t>http://courts.jocogov.org/local_index.aspx</w:t>
        </w:r>
      </w:hyperlink>
      <w:r w:rsidRPr="00C96DA5">
        <w:rPr>
          <w:rFonts w:cs="Times New Roman"/>
          <w:sz w:val="24"/>
          <w:szCs w:val="24"/>
        </w:rPr>
        <w:t xml:space="preserve"> .</w:t>
      </w:r>
    </w:p>
    <w:p w:rsidR="00BD030C" w:rsidRPr="00C96DA5" w:rsidRDefault="00BD030C" w:rsidP="00BD030C">
      <w:pPr>
        <w:pStyle w:val="ListParagraph"/>
        <w:rPr>
          <w:rFonts w:cs="Times New Roman"/>
          <w:bCs/>
          <w:sz w:val="24"/>
          <w:szCs w:val="24"/>
        </w:rPr>
      </w:pPr>
    </w:p>
    <w:p w:rsidR="00BD030C" w:rsidRDefault="00BD030C" w:rsidP="00BD030C">
      <w:pPr>
        <w:pStyle w:val="ListParagraph"/>
        <w:numPr>
          <w:ilvl w:val="0"/>
          <w:numId w:val="2"/>
        </w:numPr>
        <w:autoSpaceDE w:val="0"/>
        <w:autoSpaceDN w:val="0"/>
        <w:adjustRightInd w:val="0"/>
        <w:rPr>
          <w:rFonts w:cs="Times New Roman"/>
          <w:b/>
          <w:sz w:val="24"/>
          <w:szCs w:val="24"/>
          <w:u w:val="single"/>
        </w:rPr>
      </w:pPr>
      <w:r>
        <w:rPr>
          <w:rFonts w:cs="Times New Roman"/>
          <w:b/>
          <w:sz w:val="24"/>
          <w:szCs w:val="24"/>
          <w:u w:val="single"/>
        </w:rPr>
        <w:t>Motions for Summary Judgment, Discovery-Related Motions and the like.</w:t>
      </w:r>
      <w:r>
        <w:rPr>
          <w:rFonts w:cs="Times New Roman"/>
          <w:sz w:val="24"/>
          <w:szCs w:val="24"/>
        </w:rPr>
        <w:t xml:space="preserve">  When petitions or motions are filed that include, incorporate and/or attach legal argument in support or opposition and/or exhibits, please provide a </w:t>
      </w:r>
      <w:r w:rsidRPr="00B230D1">
        <w:rPr>
          <w:rFonts w:cs="Times New Roman"/>
          <w:sz w:val="24"/>
          <w:szCs w:val="24"/>
          <w:u w:val="single"/>
        </w:rPr>
        <w:t xml:space="preserve">courtesy </w:t>
      </w:r>
      <w:r w:rsidRPr="00B230D1">
        <w:rPr>
          <w:rFonts w:cs="Times New Roman"/>
          <w:b/>
          <w:sz w:val="24"/>
          <w:szCs w:val="24"/>
          <w:u w:val="single"/>
        </w:rPr>
        <w:t>paper</w:t>
      </w:r>
      <w:r w:rsidRPr="00B230D1">
        <w:rPr>
          <w:rFonts w:cs="Times New Roman"/>
          <w:sz w:val="24"/>
          <w:szCs w:val="24"/>
          <w:u w:val="single"/>
        </w:rPr>
        <w:t xml:space="preserve"> </w:t>
      </w:r>
      <w:r>
        <w:rPr>
          <w:rFonts w:cs="Times New Roman"/>
          <w:sz w:val="24"/>
          <w:szCs w:val="24"/>
          <w:u w:val="single"/>
        </w:rPr>
        <w:t xml:space="preserve">(non-electronic) </w:t>
      </w:r>
      <w:r w:rsidRPr="00B230D1">
        <w:rPr>
          <w:rFonts w:cs="Times New Roman"/>
          <w:sz w:val="24"/>
          <w:szCs w:val="24"/>
          <w:u w:val="single"/>
        </w:rPr>
        <w:t>copy of the filing(s)</w:t>
      </w:r>
      <w:r>
        <w:rPr>
          <w:rFonts w:cs="Times New Roman"/>
          <w:sz w:val="24"/>
          <w:szCs w:val="24"/>
        </w:rPr>
        <w:t xml:space="preserve">, i.e., motion, memorandum in support/opposition and exhibits, to Division 15 </w:t>
      </w:r>
      <w:r>
        <w:rPr>
          <w:rFonts w:cs="Times New Roman"/>
          <w:sz w:val="24"/>
          <w:szCs w:val="24"/>
          <w:u w:val="single"/>
        </w:rPr>
        <w:t xml:space="preserve">within two days after the filing </w:t>
      </w:r>
      <w:r>
        <w:rPr>
          <w:rFonts w:cs="Times New Roman"/>
          <w:sz w:val="24"/>
          <w:szCs w:val="24"/>
        </w:rPr>
        <w:t>or as soon to that time frame as time allows</w:t>
      </w:r>
      <w:r w:rsidR="006C54C0">
        <w:rPr>
          <w:rFonts w:cs="Times New Roman"/>
          <w:sz w:val="24"/>
          <w:szCs w:val="24"/>
        </w:rPr>
        <w:t xml:space="preserve"> and </w:t>
      </w:r>
      <w:r w:rsidR="006C54C0">
        <w:rPr>
          <w:rFonts w:cs="Times New Roman"/>
          <w:sz w:val="24"/>
          <w:szCs w:val="24"/>
        </w:rPr>
        <w:t>an electronic version of the</w:t>
      </w:r>
      <w:r w:rsidR="006C54C0" w:rsidRPr="00DC09BF">
        <w:rPr>
          <w:rFonts w:cs="Times New Roman"/>
          <w:sz w:val="24"/>
          <w:szCs w:val="24"/>
        </w:rPr>
        <w:t xml:space="preserve"> </w:t>
      </w:r>
      <w:r w:rsidR="006C54C0">
        <w:rPr>
          <w:rFonts w:cs="Times New Roman"/>
          <w:sz w:val="24"/>
          <w:szCs w:val="24"/>
        </w:rPr>
        <w:t>motion and memorandum in support/opposition, via email</w:t>
      </w:r>
      <w:r w:rsidR="006C54C0">
        <w:rPr>
          <w:rFonts w:cs="Times New Roman"/>
          <w:sz w:val="24"/>
          <w:szCs w:val="24"/>
        </w:rPr>
        <w:t xml:space="preserve"> in MSWord format</w:t>
      </w:r>
      <w:bookmarkStart w:id="0" w:name="_GoBack"/>
      <w:bookmarkEnd w:id="0"/>
      <w:r>
        <w:rPr>
          <w:rFonts w:cs="Times New Roman"/>
          <w:sz w:val="24"/>
          <w:szCs w:val="24"/>
        </w:rPr>
        <w:t>.  These hard copies should be received by Division 15 prior to any hearing that is scheduled.</w:t>
      </w:r>
      <w:r w:rsidR="00DC09BF">
        <w:rPr>
          <w:rFonts w:cs="Times New Roman"/>
          <w:sz w:val="24"/>
          <w:szCs w:val="24"/>
        </w:rPr>
        <w:t xml:space="preserve">  </w:t>
      </w:r>
    </w:p>
    <w:p w:rsidR="00BD030C" w:rsidRPr="00485012" w:rsidRDefault="00BD030C" w:rsidP="00BD030C">
      <w:pPr>
        <w:pStyle w:val="ListParagraph"/>
        <w:rPr>
          <w:rFonts w:cs="Times New Roman"/>
          <w:b/>
          <w:sz w:val="24"/>
          <w:szCs w:val="24"/>
          <w:u w:val="single"/>
        </w:rPr>
      </w:pPr>
    </w:p>
    <w:p w:rsidR="00BD030C" w:rsidRPr="00F07068" w:rsidRDefault="00BD030C" w:rsidP="00BD030C">
      <w:pPr>
        <w:pStyle w:val="ListParagraph"/>
        <w:numPr>
          <w:ilvl w:val="0"/>
          <w:numId w:val="2"/>
        </w:numPr>
        <w:autoSpaceDE w:val="0"/>
        <w:autoSpaceDN w:val="0"/>
        <w:adjustRightInd w:val="0"/>
        <w:rPr>
          <w:rFonts w:cs="Times New Roman"/>
          <w:b/>
          <w:sz w:val="24"/>
          <w:szCs w:val="24"/>
          <w:u w:val="single"/>
        </w:rPr>
      </w:pPr>
      <w:r w:rsidRPr="00C96DA5">
        <w:rPr>
          <w:rFonts w:cs="Times New Roman"/>
          <w:b/>
          <w:sz w:val="24"/>
          <w:szCs w:val="24"/>
          <w:u w:val="single"/>
        </w:rPr>
        <w:t>Policy in Review</w:t>
      </w:r>
      <w:r>
        <w:rPr>
          <w:rFonts w:cs="Times New Roman"/>
          <w:b/>
          <w:sz w:val="24"/>
          <w:szCs w:val="24"/>
          <w:u w:val="single"/>
        </w:rPr>
        <w:t>ing</w:t>
      </w:r>
      <w:r w:rsidRPr="00C96DA5">
        <w:rPr>
          <w:rFonts w:cs="Times New Roman"/>
          <w:b/>
          <w:sz w:val="24"/>
          <w:szCs w:val="24"/>
          <w:u w:val="single"/>
        </w:rPr>
        <w:t xml:space="preserve"> Attorney Billings.</w:t>
      </w:r>
      <w:r w:rsidRPr="00C96DA5">
        <w:rPr>
          <w:rFonts w:cs="Times New Roman"/>
          <w:sz w:val="24"/>
          <w:szCs w:val="24"/>
        </w:rPr>
        <w:t xml:space="preserve">   Kansas statutes and case law require the Court to review attorney billings for approval before they are paid.  </w:t>
      </w:r>
      <w:r w:rsidRPr="00C96DA5">
        <w:rPr>
          <w:rFonts w:cs="Times New Roman"/>
          <w:i/>
          <w:sz w:val="24"/>
          <w:szCs w:val="24"/>
        </w:rPr>
        <w:t>See</w:t>
      </w:r>
      <w:r w:rsidRPr="00C96DA5">
        <w:rPr>
          <w:rFonts w:cs="Times New Roman"/>
          <w:sz w:val="24"/>
          <w:szCs w:val="24"/>
        </w:rPr>
        <w:t xml:space="preserve"> K.S.A. 59-1717 (1939); </w:t>
      </w:r>
      <w:r w:rsidRPr="00C96DA5">
        <w:rPr>
          <w:rFonts w:cs="Times New Roman"/>
          <w:i/>
          <w:sz w:val="24"/>
          <w:szCs w:val="24"/>
        </w:rPr>
        <w:t>In re Alig</w:t>
      </w:r>
      <w:r w:rsidRPr="00C96DA5">
        <w:rPr>
          <w:rFonts w:cs="Times New Roman"/>
          <w:sz w:val="24"/>
          <w:szCs w:val="24"/>
        </w:rPr>
        <w:t xml:space="preserve">, </w:t>
      </w:r>
      <w:r w:rsidRPr="00C96DA5">
        <w:rPr>
          <w:rFonts w:cs="Times New Roman"/>
          <w:color w:val="000000"/>
          <w:sz w:val="24"/>
          <w:szCs w:val="24"/>
        </w:rPr>
        <w:t xml:space="preserve">285 Kan. 117, 169 P.3d 690 (2007); </w:t>
      </w:r>
      <w:r w:rsidRPr="00C96DA5">
        <w:rPr>
          <w:rFonts w:cs="Times New Roman"/>
          <w:i/>
          <w:color w:val="000000"/>
          <w:sz w:val="24"/>
          <w:szCs w:val="24"/>
        </w:rPr>
        <w:t>In re Holmes</w:t>
      </w:r>
      <w:r w:rsidRPr="00C96DA5">
        <w:rPr>
          <w:rFonts w:cs="Times New Roman"/>
          <w:color w:val="000000"/>
          <w:sz w:val="24"/>
          <w:szCs w:val="24"/>
        </w:rPr>
        <w:t xml:space="preserve">, 293 Kan. 478 (2011); </w:t>
      </w:r>
      <w:r w:rsidRPr="00C96DA5">
        <w:rPr>
          <w:rFonts w:cs="Times New Roman"/>
          <w:i/>
          <w:iCs/>
          <w:sz w:val="24"/>
          <w:szCs w:val="24"/>
        </w:rPr>
        <w:t xml:space="preserve">In re Conservatorship of Bogner, </w:t>
      </w:r>
      <w:r w:rsidRPr="00C96DA5">
        <w:rPr>
          <w:rFonts w:cs="Times New Roman"/>
          <w:sz w:val="24"/>
          <w:szCs w:val="24"/>
        </w:rPr>
        <w:t>277 P. 3d 448 (Kan. App. 2012)(unpublished).</w:t>
      </w:r>
      <w:r w:rsidR="000D60EB">
        <w:rPr>
          <w:rFonts w:cs="Times New Roman"/>
          <w:sz w:val="24"/>
          <w:szCs w:val="24"/>
        </w:rPr>
        <w:t xml:space="preserve">  </w:t>
      </w:r>
    </w:p>
    <w:p w:rsidR="00BD030C" w:rsidRPr="00C96DA5" w:rsidRDefault="00BD030C" w:rsidP="00BD030C">
      <w:pPr>
        <w:pStyle w:val="ListParagraph"/>
        <w:rPr>
          <w:rFonts w:cs="Times New Roman"/>
          <w:b/>
          <w:sz w:val="24"/>
          <w:szCs w:val="24"/>
          <w:u w:val="single"/>
        </w:rPr>
      </w:pPr>
    </w:p>
    <w:p w:rsidR="00A531A7" w:rsidRPr="00A531A7" w:rsidRDefault="00BD030C" w:rsidP="00BD030C">
      <w:pPr>
        <w:pStyle w:val="ListParagraph"/>
        <w:autoSpaceDE w:val="0"/>
        <w:autoSpaceDN w:val="0"/>
        <w:adjustRightInd w:val="0"/>
        <w:rPr>
          <w:rFonts w:cs="Times New Roman"/>
          <w:sz w:val="24"/>
          <w:szCs w:val="24"/>
        </w:rPr>
      </w:pPr>
      <w:r w:rsidRPr="00C96DA5">
        <w:rPr>
          <w:rFonts w:cs="Times New Roman"/>
          <w:sz w:val="24"/>
          <w:szCs w:val="24"/>
        </w:rPr>
        <w:t xml:space="preserve">Billing statements should be itemized to describe the legal services performed and actual expenses incurred.  </w:t>
      </w:r>
      <w:r>
        <w:rPr>
          <w:rFonts w:cs="Times New Roman"/>
          <w:sz w:val="24"/>
          <w:szCs w:val="24"/>
        </w:rPr>
        <w:t>S</w:t>
      </w:r>
      <w:r w:rsidRPr="00C96DA5">
        <w:rPr>
          <w:rFonts w:cs="Times New Roman"/>
          <w:sz w:val="24"/>
          <w:szCs w:val="24"/>
        </w:rPr>
        <w:t>ecretarial</w:t>
      </w:r>
      <w:r>
        <w:rPr>
          <w:rFonts w:cs="Times New Roman"/>
          <w:sz w:val="24"/>
          <w:szCs w:val="24"/>
        </w:rPr>
        <w:t>-type</w:t>
      </w:r>
      <w:r w:rsidRPr="00C96DA5">
        <w:rPr>
          <w:rFonts w:cs="Times New Roman"/>
          <w:sz w:val="24"/>
          <w:szCs w:val="24"/>
        </w:rPr>
        <w:t xml:space="preserve"> services are considered overhead and </w:t>
      </w:r>
      <w:r>
        <w:rPr>
          <w:rFonts w:cs="Times New Roman"/>
          <w:sz w:val="24"/>
          <w:szCs w:val="24"/>
        </w:rPr>
        <w:t>will not be approved for payment</w:t>
      </w:r>
      <w:r w:rsidRPr="00C96DA5">
        <w:rPr>
          <w:rFonts w:cs="Times New Roman"/>
          <w:sz w:val="24"/>
          <w:szCs w:val="24"/>
        </w:rPr>
        <w:t xml:space="preserve">.  </w:t>
      </w:r>
      <w:r w:rsidR="00A531A7" w:rsidRPr="00A531A7">
        <w:rPr>
          <w:rFonts w:cs="Times New Roman"/>
          <w:i/>
          <w:sz w:val="24"/>
          <w:szCs w:val="24"/>
        </w:rPr>
        <w:t>See</w:t>
      </w:r>
      <w:r w:rsidR="00A531A7" w:rsidRPr="00A531A7">
        <w:rPr>
          <w:rFonts w:cs="Times New Roman"/>
          <w:sz w:val="24"/>
          <w:szCs w:val="24"/>
        </w:rPr>
        <w:t xml:space="preserve"> </w:t>
      </w:r>
      <w:r w:rsidR="00FB7A34" w:rsidRPr="00FB7A34">
        <w:rPr>
          <w:rFonts w:cs="Times New Roman"/>
          <w:i/>
          <w:sz w:val="24"/>
          <w:szCs w:val="24"/>
        </w:rPr>
        <w:t>In the</w:t>
      </w:r>
      <w:r w:rsidR="00FB7A34">
        <w:rPr>
          <w:rFonts w:cs="Times New Roman"/>
          <w:sz w:val="24"/>
          <w:szCs w:val="24"/>
        </w:rPr>
        <w:t xml:space="preserve"> </w:t>
      </w:r>
      <w:r w:rsidR="00A531A7" w:rsidRPr="00A531A7">
        <w:rPr>
          <w:rFonts w:cs="Times New Roman"/>
          <w:i/>
          <w:sz w:val="24"/>
          <w:szCs w:val="24"/>
        </w:rPr>
        <w:t>Matter of Crandall</w:t>
      </w:r>
      <w:r w:rsidR="00A531A7" w:rsidRPr="00A531A7">
        <w:rPr>
          <w:rFonts w:cs="Times New Roman"/>
          <w:sz w:val="24"/>
          <w:szCs w:val="24"/>
        </w:rPr>
        <w:t>, case no. 117,910 (Kan. 11/30/2018)</w:t>
      </w:r>
      <w:r w:rsidR="00A531A7" w:rsidRPr="00A531A7">
        <w:rPr>
          <w:rFonts w:cs="Times New Roman"/>
          <w:sz w:val="24"/>
          <w:szCs w:val="24"/>
        </w:rPr>
        <w:t xml:space="preserve"> (</w:t>
      </w:r>
      <w:r w:rsidR="001B1DFE">
        <w:rPr>
          <w:rFonts w:cs="Times New Roman"/>
          <w:sz w:val="24"/>
          <w:szCs w:val="24"/>
        </w:rPr>
        <w:t>“W</w:t>
      </w:r>
      <w:r w:rsidR="00A531A7" w:rsidRPr="00A531A7">
        <w:rPr>
          <w:rFonts w:cs="Times New Roman"/>
          <w:sz w:val="24"/>
          <w:szCs w:val="24"/>
        </w:rPr>
        <w:t xml:space="preserve">hile necessary steps, </w:t>
      </w:r>
      <w:r w:rsidR="001B1DFE">
        <w:rPr>
          <w:rFonts w:cs="Times New Roman"/>
          <w:sz w:val="24"/>
          <w:szCs w:val="24"/>
        </w:rPr>
        <w:t xml:space="preserve">clerical duties </w:t>
      </w:r>
      <w:r w:rsidR="00A531A7" w:rsidRPr="00A531A7">
        <w:rPr>
          <w:rFonts w:cs="Times New Roman"/>
          <w:sz w:val="24"/>
          <w:szCs w:val="24"/>
        </w:rPr>
        <w:t>are not the type of legal work that warrants charging the client</w:t>
      </w:r>
      <w:r w:rsidR="001B1DFE">
        <w:rPr>
          <w:rFonts w:cs="Times New Roman"/>
          <w:sz w:val="24"/>
          <w:szCs w:val="24"/>
        </w:rPr>
        <w:t>.”</w:t>
      </w:r>
      <w:r w:rsidR="00A531A7" w:rsidRPr="00A531A7">
        <w:rPr>
          <w:rFonts w:cs="Times New Roman"/>
          <w:sz w:val="24"/>
          <w:szCs w:val="24"/>
        </w:rPr>
        <w:t>)</w:t>
      </w:r>
      <w:r w:rsidR="00A531A7" w:rsidRPr="00A531A7">
        <w:rPr>
          <w:rFonts w:cs="Times New Roman"/>
          <w:sz w:val="24"/>
          <w:szCs w:val="24"/>
        </w:rPr>
        <w:t>.</w:t>
      </w:r>
      <w:r w:rsidR="001B1DFE">
        <w:rPr>
          <w:rFonts w:cs="Times New Roman"/>
          <w:sz w:val="24"/>
          <w:szCs w:val="24"/>
        </w:rPr>
        <w:t xml:space="preserve"> </w:t>
      </w:r>
      <w:r w:rsidR="00A531A7" w:rsidRPr="00A531A7">
        <w:rPr>
          <w:rFonts w:cs="Times New Roman"/>
          <w:sz w:val="24"/>
          <w:szCs w:val="24"/>
        </w:rPr>
        <w:t xml:space="preserve"> </w:t>
      </w:r>
      <w:r w:rsidR="00A531A7" w:rsidRPr="00A531A7">
        <w:rPr>
          <w:rFonts w:cs="Times New Roman"/>
          <w:i/>
          <w:sz w:val="24"/>
          <w:szCs w:val="24"/>
        </w:rPr>
        <w:t>See</w:t>
      </w:r>
      <w:r w:rsidR="00A531A7" w:rsidRPr="00A531A7">
        <w:rPr>
          <w:rFonts w:cs="Times New Roman"/>
          <w:i/>
          <w:sz w:val="24"/>
          <w:szCs w:val="24"/>
        </w:rPr>
        <w:t xml:space="preserve"> also</w:t>
      </w:r>
      <w:r w:rsidR="00A531A7" w:rsidRPr="00A531A7">
        <w:rPr>
          <w:rFonts w:cs="Times New Roman"/>
          <w:sz w:val="24"/>
          <w:szCs w:val="24"/>
        </w:rPr>
        <w:t xml:space="preserve"> </w:t>
      </w:r>
      <w:r w:rsidR="00A531A7" w:rsidRPr="00A531A7">
        <w:rPr>
          <w:rFonts w:cs="Times New Roman"/>
          <w:sz w:val="24"/>
          <w:szCs w:val="24"/>
        </w:rPr>
        <w:t xml:space="preserve">Annotated Model Rules of Professional Conduct, Rule 1.5, p. 80 ("Work done for the lawyer's own benefit may not be billed to the client."); </w:t>
      </w:r>
      <w:r w:rsidR="00A531A7" w:rsidRPr="00A531A7">
        <w:rPr>
          <w:rFonts w:cs="Times New Roman"/>
          <w:i/>
          <w:iCs/>
          <w:sz w:val="24"/>
          <w:szCs w:val="24"/>
        </w:rPr>
        <w:t>Harris Trust &amp; Sav. v. Am. Nat. Bank</w:t>
      </w:r>
      <w:r w:rsidR="00A531A7" w:rsidRPr="00A531A7">
        <w:rPr>
          <w:rFonts w:cs="Times New Roman"/>
          <w:sz w:val="24"/>
          <w:szCs w:val="24"/>
        </w:rPr>
        <w:t xml:space="preserve">, 230 Ill. App. 3d 591, 599, 594 N.E.2d 1308 (1992) (holding general overhead expenses "are incorporated into the hourly attorney fee charged to the client, and accordingly, cannot be separately itemized and charged as costs in an action for attorney fees"); </w:t>
      </w:r>
      <w:r w:rsidR="00A531A7" w:rsidRPr="008A7E77">
        <w:rPr>
          <w:rFonts w:cs="Times New Roman"/>
          <w:i/>
          <w:sz w:val="24"/>
          <w:szCs w:val="24"/>
        </w:rPr>
        <w:t>cf.</w:t>
      </w:r>
      <w:r w:rsidR="00A531A7" w:rsidRPr="00A531A7">
        <w:rPr>
          <w:rFonts w:cs="Times New Roman"/>
          <w:sz w:val="24"/>
          <w:szCs w:val="24"/>
        </w:rPr>
        <w:t xml:space="preserve"> </w:t>
      </w:r>
      <w:r w:rsidR="00A531A7" w:rsidRPr="00A531A7">
        <w:rPr>
          <w:rFonts w:cs="Times New Roman"/>
          <w:i/>
          <w:sz w:val="24"/>
          <w:szCs w:val="24"/>
        </w:rPr>
        <w:t>Matter of</w:t>
      </w:r>
      <w:r w:rsidR="00A531A7" w:rsidRPr="00A531A7">
        <w:rPr>
          <w:rFonts w:cs="Times New Roman"/>
          <w:sz w:val="24"/>
          <w:szCs w:val="24"/>
        </w:rPr>
        <w:t xml:space="preserve"> </w:t>
      </w:r>
      <w:r w:rsidR="00A531A7" w:rsidRPr="00A531A7">
        <w:rPr>
          <w:rFonts w:cs="Times New Roman"/>
          <w:i/>
          <w:iCs/>
          <w:sz w:val="24"/>
          <w:szCs w:val="24"/>
        </w:rPr>
        <w:t>Scimeca</w:t>
      </w:r>
      <w:r w:rsidR="00A531A7" w:rsidRPr="00A531A7">
        <w:rPr>
          <w:rFonts w:cs="Times New Roman"/>
          <w:sz w:val="24"/>
          <w:szCs w:val="24"/>
        </w:rPr>
        <w:t xml:space="preserve">, </w:t>
      </w:r>
      <w:r w:rsidR="00A531A7" w:rsidRPr="00A531A7">
        <w:rPr>
          <w:rFonts w:cs="Times New Roman"/>
          <w:bCs/>
          <w:color w:val="555555"/>
          <w:sz w:val="24"/>
          <w:szCs w:val="24"/>
        </w:rPr>
        <w:t>265 Kan. 742, 751 (1998)</w:t>
      </w:r>
      <w:r w:rsidR="00A531A7" w:rsidRPr="00A531A7">
        <w:rPr>
          <w:rFonts w:cs="Times New Roman"/>
          <w:sz w:val="24"/>
          <w:szCs w:val="24"/>
        </w:rPr>
        <w:t xml:space="preserve"> (noting the hearing panel concluded unethical billing practices included charging for secretarial time, but ultimately not ruling on that particular issue)</w:t>
      </w:r>
      <w:r w:rsidR="00A531A7" w:rsidRPr="00A531A7">
        <w:rPr>
          <w:rFonts w:cs="Times New Roman"/>
          <w:bCs/>
          <w:sz w:val="24"/>
          <w:szCs w:val="24"/>
        </w:rPr>
        <w:t>.</w:t>
      </w:r>
    </w:p>
    <w:p w:rsidR="00A531A7" w:rsidRDefault="00A531A7" w:rsidP="00BD030C">
      <w:pPr>
        <w:pStyle w:val="ListParagraph"/>
        <w:autoSpaceDE w:val="0"/>
        <w:autoSpaceDN w:val="0"/>
        <w:adjustRightInd w:val="0"/>
        <w:rPr>
          <w:rFonts w:cs="Times New Roman"/>
          <w:sz w:val="24"/>
          <w:szCs w:val="24"/>
        </w:rPr>
      </w:pPr>
    </w:p>
    <w:p w:rsidR="00BD030C" w:rsidRDefault="00BD030C" w:rsidP="00BD030C">
      <w:pPr>
        <w:pStyle w:val="ListParagraph"/>
        <w:autoSpaceDE w:val="0"/>
        <w:autoSpaceDN w:val="0"/>
        <w:adjustRightInd w:val="0"/>
        <w:rPr>
          <w:rFonts w:cs="Times New Roman"/>
          <w:sz w:val="24"/>
          <w:szCs w:val="24"/>
        </w:rPr>
      </w:pPr>
      <w:r w:rsidRPr="00C96DA5">
        <w:rPr>
          <w:rFonts w:cs="Times New Roman"/>
          <w:sz w:val="24"/>
          <w:szCs w:val="24"/>
        </w:rPr>
        <w:t>As the billing statements are reviewed, this court will not approve attorney, paralegal or legal assistant time for items or entries that reflect services that are considered secretarial in nature, such as, e-filing</w:t>
      </w:r>
      <w:r>
        <w:rPr>
          <w:rFonts w:cs="Times New Roman"/>
          <w:sz w:val="24"/>
          <w:szCs w:val="24"/>
        </w:rPr>
        <w:t xml:space="preserve">, </w:t>
      </w:r>
      <w:r w:rsidRPr="00C96DA5">
        <w:rPr>
          <w:rFonts w:cs="Times New Roman"/>
          <w:sz w:val="24"/>
          <w:szCs w:val="24"/>
        </w:rPr>
        <w:t xml:space="preserve">filing, faxing, making copies, printing documents, </w:t>
      </w:r>
      <w:r w:rsidR="008A7E77">
        <w:rPr>
          <w:rFonts w:cs="Times New Roman"/>
          <w:sz w:val="24"/>
          <w:szCs w:val="24"/>
        </w:rPr>
        <w:t xml:space="preserve">preparing for and </w:t>
      </w:r>
      <w:r w:rsidRPr="00C96DA5">
        <w:rPr>
          <w:rFonts w:cs="Times New Roman"/>
          <w:sz w:val="24"/>
          <w:szCs w:val="24"/>
        </w:rPr>
        <w:t>mailing documents, pulling or downloading documents or obtaining copies, data entry, and setting up and/or organizing a file.  Attorney, paralegal or legal assistant time will also not be approved for time spent in delivery or coming to the courthouse</w:t>
      </w:r>
      <w:r w:rsidR="00FB7A34">
        <w:rPr>
          <w:rFonts w:cs="Times New Roman"/>
          <w:sz w:val="24"/>
          <w:szCs w:val="24"/>
        </w:rPr>
        <w:t xml:space="preserve"> or elsewhere</w:t>
      </w:r>
      <w:r w:rsidRPr="00C96DA5">
        <w:rPr>
          <w:rFonts w:cs="Times New Roman"/>
          <w:sz w:val="24"/>
          <w:szCs w:val="24"/>
        </w:rPr>
        <w:t xml:space="preserve"> to </w:t>
      </w:r>
      <w:r>
        <w:rPr>
          <w:rFonts w:cs="Times New Roman"/>
          <w:sz w:val="24"/>
          <w:szCs w:val="24"/>
        </w:rPr>
        <w:t>deliver and</w:t>
      </w:r>
      <w:r w:rsidR="002B42F4">
        <w:rPr>
          <w:rFonts w:cs="Times New Roman"/>
          <w:sz w:val="24"/>
          <w:szCs w:val="24"/>
        </w:rPr>
        <w:t>/or</w:t>
      </w:r>
      <w:r>
        <w:rPr>
          <w:rFonts w:cs="Times New Roman"/>
          <w:sz w:val="24"/>
          <w:szCs w:val="24"/>
        </w:rPr>
        <w:t xml:space="preserve"> </w:t>
      </w:r>
      <w:r w:rsidRPr="00C96DA5">
        <w:rPr>
          <w:rFonts w:cs="Times New Roman"/>
          <w:sz w:val="24"/>
          <w:szCs w:val="24"/>
        </w:rPr>
        <w:t>file documents.</w:t>
      </w:r>
    </w:p>
    <w:p w:rsidR="00A531A7" w:rsidRDefault="00A531A7" w:rsidP="00BD030C">
      <w:pPr>
        <w:pStyle w:val="ListParagraph"/>
        <w:autoSpaceDE w:val="0"/>
        <w:autoSpaceDN w:val="0"/>
        <w:adjustRightInd w:val="0"/>
        <w:rPr>
          <w:rFonts w:cs="Times New Roman"/>
          <w:sz w:val="24"/>
          <w:szCs w:val="24"/>
        </w:rPr>
      </w:pPr>
    </w:p>
    <w:p w:rsidR="00A531A7" w:rsidRPr="00C96DA5" w:rsidRDefault="00A531A7" w:rsidP="00BD030C">
      <w:pPr>
        <w:pStyle w:val="ListParagraph"/>
        <w:autoSpaceDE w:val="0"/>
        <w:autoSpaceDN w:val="0"/>
        <w:adjustRightInd w:val="0"/>
        <w:rPr>
          <w:rFonts w:cs="Times New Roman"/>
          <w:sz w:val="24"/>
          <w:szCs w:val="24"/>
        </w:rPr>
      </w:pPr>
    </w:p>
    <w:p w:rsidR="00BD030C" w:rsidRPr="00C96DA5" w:rsidRDefault="00BD030C" w:rsidP="00BD030C">
      <w:pPr>
        <w:pStyle w:val="ListParagraph"/>
        <w:numPr>
          <w:ilvl w:val="0"/>
          <w:numId w:val="2"/>
        </w:numPr>
        <w:autoSpaceDE w:val="0"/>
        <w:autoSpaceDN w:val="0"/>
        <w:adjustRightInd w:val="0"/>
        <w:rPr>
          <w:rFonts w:cs="Times New Roman"/>
          <w:sz w:val="24"/>
          <w:szCs w:val="24"/>
        </w:rPr>
      </w:pPr>
      <w:r w:rsidRPr="00C96DA5">
        <w:rPr>
          <w:rFonts w:cs="Times New Roman"/>
          <w:b/>
          <w:bCs/>
          <w:sz w:val="24"/>
          <w:szCs w:val="24"/>
          <w:u w:val="single"/>
        </w:rPr>
        <w:t>Conduct in Court Proceedings</w:t>
      </w:r>
      <w:r w:rsidRPr="00C96DA5">
        <w:rPr>
          <w:rFonts w:cs="Times New Roman"/>
          <w:bCs/>
          <w:sz w:val="24"/>
          <w:szCs w:val="24"/>
        </w:rPr>
        <w:t xml:space="preserve">.  </w:t>
      </w:r>
      <w:r w:rsidRPr="00C96DA5">
        <w:rPr>
          <w:rFonts w:cs="Times New Roman"/>
          <w:sz w:val="24"/>
          <w:szCs w:val="24"/>
        </w:rPr>
        <w:t>Our local general rule on decorum provides:</w:t>
      </w:r>
    </w:p>
    <w:p w:rsidR="00BD030C" w:rsidRPr="00C96DA5" w:rsidRDefault="00BD030C" w:rsidP="00BD030C">
      <w:pPr>
        <w:pStyle w:val="ListParagraph"/>
        <w:rPr>
          <w:rFonts w:cs="Times New Roman"/>
          <w:sz w:val="24"/>
          <w:szCs w:val="24"/>
        </w:rPr>
      </w:pPr>
    </w:p>
    <w:p w:rsidR="00BD030C" w:rsidRPr="00C96DA5" w:rsidRDefault="00BD030C" w:rsidP="00BD030C">
      <w:pPr>
        <w:pStyle w:val="ListParagraph"/>
        <w:numPr>
          <w:ilvl w:val="0"/>
          <w:numId w:val="6"/>
        </w:numPr>
        <w:autoSpaceDE w:val="0"/>
        <w:autoSpaceDN w:val="0"/>
        <w:adjustRightInd w:val="0"/>
        <w:jc w:val="left"/>
        <w:rPr>
          <w:rFonts w:cs="Times New Roman"/>
          <w:sz w:val="24"/>
          <w:szCs w:val="24"/>
        </w:rPr>
      </w:pPr>
      <w:r w:rsidRPr="00C96DA5">
        <w:rPr>
          <w:rFonts w:cs="Times New Roman"/>
          <w:sz w:val="24"/>
          <w:szCs w:val="24"/>
        </w:rPr>
        <w:t>When appearing in court all attorneys shall be suitably attired.</w:t>
      </w:r>
    </w:p>
    <w:p w:rsidR="00BD030C" w:rsidRPr="00C96DA5" w:rsidRDefault="00BD030C" w:rsidP="00BD030C">
      <w:pPr>
        <w:pStyle w:val="ListParagraph"/>
        <w:numPr>
          <w:ilvl w:val="0"/>
          <w:numId w:val="6"/>
        </w:numPr>
        <w:autoSpaceDE w:val="0"/>
        <w:autoSpaceDN w:val="0"/>
        <w:adjustRightInd w:val="0"/>
        <w:rPr>
          <w:rFonts w:cs="Times New Roman"/>
          <w:sz w:val="24"/>
          <w:szCs w:val="24"/>
        </w:rPr>
      </w:pPr>
      <w:r w:rsidRPr="00C96DA5">
        <w:rPr>
          <w:rFonts w:cs="Times New Roman"/>
          <w:sz w:val="24"/>
          <w:szCs w:val="24"/>
        </w:rPr>
        <w:t>Counsel shall stand at counsel table or the speaker's podium to address the court, witnesses or jurors, unless allowed to do otherwise by permission of the court.</w:t>
      </w:r>
    </w:p>
    <w:p w:rsidR="00BD030C" w:rsidRPr="00C96DA5" w:rsidRDefault="00BD030C" w:rsidP="00BD030C">
      <w:pPr>
        <w:pStyle w:val="ListParagraph"/>
        <w:numPr>
          <w:ilvl w:val="0"/>
          <w:numId w:val="6"/>
        </w:numPr>
        <w:autoSpaceDE w:val="0"/>
        <w:autoSpaceDN w:val="0"/>
        <w:adjustRightInd w:val="0"/>
        <w:rPr>
          <w:rFonts w:cs="Times New Roman"/>
          <w:sz w:val="24"/>
          <w:szCs w:val="24"/>
        </w:rPr>
      </w:pPr>
      <w:r w:rsidRPr="00C96DA5">
        <w:rPr>
          <w:rFonts w:cs="Times New Roman"/>
          <w:sz w:val="24"/>
          <w:szCs w:val="24"/>
        </w:rPr>
        <w:t>All attorneys and parties appearing in any hearing shall use an entrance door to the courtroom as directed by the judge of that division.</w:t>
      </w:r>
    </w:p>
    <w:p w:rsidR="00BD030C" w:rsidRPr="00C96DA5" w:rsidRDefault="00BD030C" w:rsidP="00BD030C">
      <w:pPr>
        <w:pStyle w:val="ListParagraph"/>
        <w:numPr>
          <w:ilvl w:val="0"/>
          <w:numId w:val="6"/>
        </w:numPr>
        <w:autoSpaceDE w:val="0"/>
        <w:autoSpaceDN w:val="0"/>
        <w:adjustRightInd w:val="0"/>
        <w:rPr>
          <w:rFonts w:cs="Times New Roman"/>
          <w:sz w:val="24"/>
          <w:szCs w:val="24"/>
        </w:rPr>
      </w:pPr>
      <w:r w:rsidRPr="00C96DA5">
        <w:rPr>
          <w:rFonts w:cs="Times New Roman"/>
          <w:sz w:val="24"/>
          <w:szCs w:val="24"/>
        </w:rPr>
        <w:t>When interrogating a witness, including a party, or speaking of a witness, counsel shall not use first names, but shall always use surnames.</w:t>
      </w:r>
    </w:p>
    <w:p w:rsidR="00BD030C" w:rsidRPr="00C96DA5" w:rsidRDefault="00BD030C" w:rsidP="00BD030C">
      <w:pPr>
        <w:pStyle w:val="ListParagraph"/>
        <w:numPr>
          <w:ilvl w:val="0"/>
          <w:numId w:val="6"/>
        </w:numPr>
        <w:autoSpaceDE w:val="0"/>
        <w:autoSpaceDN w:val="0"/>
        <w:adjustRightInd w:val="0"/>
        <w:rPr>
          <w:rFonts w:cs="Times New Roman"/>
          <w:sz w:val="24"/>
          <w:szCs w:val="24"/>
        </w:rPr>
      </w:pPr>
      <w:r w:rsidRPr="00C96DA5">
        <w:rPr>
          <w:rFonts w:cs="Times New Roman"/>
          <w:sz w:val="24"/>
          <w:szCs w:val="24"/>
        </w:rPr>
        <w:t>Counsel shall have exhibits marked prior to trial or hearing.</w:t>
      </w:r>
    </w:p>
    <w:p w:rsidR="00BD030C" w:rsidRPr="00C96DA5" w:rsidRDefault="00BD030C" w:rsidP="00BD030C">
      <w:pPr>
        <w:pStyle w:val="ListParagraph"/>
        <w:numPr>
          <w:ilvl w:val="0"/>
          <w:numId w:val="6"/>
        </w:numPr>
        <w:autoSpaceDE w:val="0"/>
        <w:autoSpaceDN w:val="0"/>
        <w:adjustRightInd w:val="0"/>
        <w:rPr>
          <w:rFonts w:cs="Times New Roman"/>
          <w:sz w:val="24"/>
          <w:szCs w:val="24"/>
        </w:rPr>
      </w:pPr>
      <w:r w:rsidRPr="00C96DA5">
        <w:rPr>
          <w:rFonts w:cs="Times New Roman"/>
          <w:sz w:val="24"/>
          <w:szCs w:val="24"/>
        </w:rPr>
        <w:t>The same attorney shall conduct the examination of and any objections pertaining to a witness.</w:t>
      </w:r>
    </w:p>
    <w:p w:rsidR="00BD030C" w:rsidRPr="00C96DA5" w:rsidRDefault="00BD030C" w:rsidP="00BD030C">
      <w:pPr>
        <w:autoSpaceDE w:val="0"/>
        <w:autoSpaceDN w:val="0"/>
        <w:adjustRightInd w:val="0"/>
        <w:ind w:left="1080"/>
        <w:rPr>
          <w:rFonts w:cs="Times New Roman"/>
          <w:bCs/>
          <w:i/>
          <w:iCs/>
          <w:sz w:val="24"/>
          <w:szCs w:val="24"/>
        </w:rPr>
      </w:pPr>
    </w:p>
    <w:p w:rsidR="00BD030C" w:rsidRPr="00C96DA5" w:rsidRDefault="00BD030C" w:rsidP="00BD030C">
      <w:pPr>
        <w:autoSpaceDE w:val="0"/>
        <w:autoSpaceDN w:val="0"/>
        <w:adjustRightInd w:val="0"/>
        <w:ind w:left="720"/>
        <w:rPr>
          <w:rFonts w:cs="Times New Roman"/>
          <w:bCs/>
          <w:i/>
          <w:iCs/>
          <w:sz w:val="24"/>
          <w:szCs w:val="24"/>
        </w:rPr>
      </w:pPr>
      <w:r w:rsidRPr="00C96DA5">
        <w:rPr>
          <w:rFonts w:cs="Times New Roman"/>
          <w:b/>
          <w:bCs/>
          <w:i/>
          <w:iCs/>
          <w:sz w:val="24"/>
          <w:szCs w:val="24"/>
        </w:rPr>
        <w:t>Assist the Court Reporter/Digital Recording</w:t>
      </w:r>
      <w:r w:rsidRPr="00C96DA5">
        <w:rPr>
          <w:rFonts w:cs="Times New Roman"/>
          <w:bCs/>
          <w:i/>
          <w:iCs/>
          <w:sz w:val="24"/>
          <w:szCs w:val="24"/>
        </w:rPr>
        <w:t>:</w:t>
      </w:r>
    </w:p>
    <w:p w:rsidR="00BD030C" w:rsidRPr="00C96DA5" w:rsidRDefault="00BD030C" w:rsidP="00BD030C">
      <w:pPr>
        <w:autoSpaceDE w:val="0"/>
        <w:autoSpaceDN w:val="0"/>
        <w:adjustRightInd w:val="0"/>
        <w:ind w:left="1080"/>
        <w:rPr>
          <w:rFonts w:cs="Times New Roman"/>
          <w:bCs/>
          <w:i/>
          <w:iCs/>
          <w:sz w:val="24"/>
          <w:szCs w:val="24"/>
        </w:rPr>
      </w:pPr>
    </w:p>
    <w:p w:rsidR="00BD030C" w:rsidRDefault="00BD030C" w:rsidP="00BD030C">
      <w:pPr>
        <w:autoSpaceDE w:val="0"/>
        <w:autoSpaceDN w:val="0"/>
        <w:adjustRightInd w:val="0"/>
        <w:ind w:left="1080"/>
        <w:rPr>
          <w:rFonts w:cs="Times New Roman"/>
          <w:sz w:val="24"/>
          <w:szCs w:val="24"/>
        </w:rPr>
      </w:pPr>
      <w:r w:rsidRPr="00C96DA5">
        <w:rPr>
          <w:rFonts w:cs="Times New Roman"/>
          <w:sz w:val="24"/>
          <w:szCs w:val="24"/>
        </w:rPr>
        <w:t>You are not in a rush. Speak clearly and make sure that your witness is not interrupted or does not interrupt the question so that the court reporter/digital recorder records one person only speaking at a time. Remember – it’s your record.</w:t>
      </w:r>
    </w:p>
    <w:p w:rsidR="00D93E76" w:rsidRDefault="00D93E76" w:rsidP="00BD030C">
      <w:pPr>
        <w:autoSpaceDE w:val="0"/>
        <w:autoSpaceDN w:val="0"/>
        <w:adjustRightInd w:val="0"/>
        <w:ind w:left="1080"/>
        <w:rPr>
          <w:rFonts w:cs="Times New Roman"/>
          <w:sz w:val="24"/>
          <w:szCs w:val="24"/>
        </w:rPr>
      </w:pPr>
    </w:p>
    <w:p w:rsidR="00D93E76" w:rsidRDefault="00D93E76" w:rsidP="00BD030C">
      <w:pPr>
        <w:autoSpaceDE w:val="0"/>
        <w:autoSpaceDN w:val="0"/>
        <w:adjustRightInd w:val="0"/>
        <w:ind w:left="1080"/>
        <w:rPr>
          <w:rFonts w:cs="Times New Roman"/>
          <w:sz w:val="24"/>
          <w:szCs w:val="24"/>
        </w:rPr>
      </w:pPr>
      <w:r>
        <w:rPr>
          <w:rFonts w:cs="Times New Roman"/>
          <w:sz w:val="24"/>
          <w:szCs w:val="24"/>
        </w:rPr>
        <w:t xml:space="preserve">This process is particularly important when an interpreter is being used to translate the proceedings from and to English.  It is imperative that you speak clearly and slowly so that the interpreter may translate clearly and keep up with </w:t>
      </w:r>
      <w:r w:rsidR="005F20AB">
        <w:rPr>
          <w:rFonts w:cs="Times New Roman"/>
          <w:sz w:val="24"/>
          <w:szCs w:val="24"/>
        </w:rPr>
        <w:t>the</w:t>
      </w:r>
      <w:r>
        <w:rPr>
          <w:rFonts w:cs="Times New Roman"/>
          <w:sz w:val="24"/>
          <w:szCs w:val="24"/>
        </w:rPr>
        <w:t xml:space="preserve"> Q&amp;A.</w:t>
      </w:r>
    </w:p>
    <w:p w:rsidR="00BD030C" w:rsidRDefault="00BD030C" w:rsidP="00BD030C">
      <w:pPr>
        <w:autoSpaceDE w:val="0"/>
        <w:autoSpaceDN w:val="0"/>
        <w:adjustRightInd w:val="0"/>
        <w:ind w:left="1080"/>
        <w:rPr>
          <w:rFonts w:cs="Times New Roman"/>
          <w:sz w:val="24"/>
          <w:szCs w:val="24"/>
        </w:rPr>
      </w:pPr>
    </w:p>
    <w:p w:rsidR="00BD030C" w:rsidRPr="00C96DA5" w:rsidRDefault="00BD030C" w:rsidP="00BD030C">
      <w:pPr>
        <w:autoSpaceDE w:val="0"/>
        <w:autoSpaceDN w:val="0"/>
        <w:adjustRightInd w:val="0"/>
        <w:ind w:left="1080"/>
        <w:rPr>
          <w:rFonts w:cs="Times New Roman"/>
          <w:sz w:val="24"/>
          <w:szCs w:val="24"/>
        </w:rPr>
      </w:pPr>
      <w:r w:rsidRPr="000206F0">
        <w:rPr>
          <w:rFonts w:cs="Times New Roman"/>
          <w:sz w:val="24"/>
          <w:szCs w:val="24"/>
          <w:u w:val="single"/>
        </w:rPr>
        <w:t>When Digital Recording used</w:t>
      </w:r>
      <w:r>
        <w:rPr>
          <w:rFonts w:cs="Times New Roman"/>
          <w:sz w:val="24"/>
          <w:szCs w:val="24"/>
        </w:rPr>
        <w:t>: When questioning a witness, the person asking the questions should make sure their bodies and their voice remain behind a microphone to ensure the question is clearly and accurately recorded.  This means that the person asking the questions should remain behind the podium or standing at the table behind the microphone, if allowed by the Court.</w:t>
      </w:r>
    </w:p>
    <w:p w:rsidR="00BD030C" w:rsidRPr="00C96DA5" w:rsidRDefault="00BD030C" w:rsidP="00BD030C">
      <w:pPr>
        <w:autoSpaceDE w:val="0"/>
        <w:autoSpaceDN w:val="0"/>
        <w:adjustRightInd w:val="0"/>
        <w:rPr>
          <w:rFonts w:cs="Times New Roman"/>
          <w:sz w:val="24"/>
          <w:szCs w:val="24"/>
        </w:rPr>
      </w:pPr>
    </w:p>
    <w:p w:rsidR="00BD030C" w:rsidRPr="00C96DA5" w:rsidRDefault="00BD030C" w:rsidP="00BD030C">
      <w:pPr>
        <w:pStyle w:val="ListParagraph"/>
        <w:numPr>
          <w:ilvl w:val="0"/>
          <w:numId w:val="2"/>
        </w:numPr>
        <w:autoSpaceDE w:val="0"/>
        <w:autoSpaceDN w:val="0"/>
        <w:adjustRightInd w:val="0"/>
        <w:rPr>
          <w:rFonts w:cs="Times New Roman"/>
          <w:sz w:val="24"/>
          <w:szCs w:val="24"/>
        </w:rPr>
      </w:pPr>
      <w:r w:rsidRPr="00C96DA5">
        <w:rPr>
          <w:rFonts w:cs="Times New Roman"/>
          <w:b/>
          <w:sz w:val="24"/>
          <w:szCs w:val="24"/>
          <w:u w:val="single"/>
        </w:rPr>
        <w:t>Electronic Devices</w:t>
      </w:r>
      <w:r w:rsidRPr="00C96DA5">
        <w:rPr>
          <w:rFonts w:cs="Times New Roman"/>
          <w:sz w:val="24"/>
          <w:szCs w:val="24"/>
        </w:rPr>
        <w:t>. Please turn off all cell phones, pagers and audible devices. Counsel is responsible for monitoring their clients and witnesses as to this rule. Cell phones or pages will be collected by the Court if they go off in the courtroom. If laptops are being used at trial, turn off any sound chimes etc.</w:t>
      </w:r>
    </w:p>
    <w:p w:rsidR="00BD030C" w:rsidRPr="00C96DA5" w:rsidRDefault="00BD030C" w:rsidP="00BD030C">
      <w:pPr>
        <w:pStyle w:val="ListParagraph"/>
        <w:autoSpaceDE w:val="0"/>
        <w:autoSpaceDN w:val="0"/>
        <w:adjustRightInd w:val="0"/>
        <w:rPr>
          <w:rFonts w:cs="Times New Roman"/>
          <w:sz w:val="24"/>
          <w:szCs w:val="24"/>
        </w:rPr>
      </w:pPr>
    </w:p>
    <w:p w:rsidR="00BD030C" w:rsidRPr="00C96DA5" w:rsidRDefault="00BD030C" w:rsidP="00BD030C">
      <w:pPr>
        <w:pStyle w:val="ListParagraph"/>
        <w:numPr>
          <w:ilvl w:val="0"/>
          <w:numId w:val="2"/>
        </w:numPr>
        <w:autoSpaceDE w:val="0"/>
        <w:autoSpaceDN w:val="0"/>
        <w:adjustRightInd w:val="0"/>
        <w:rPr>
          <w:rFonts w:cs="Times New Roman"/>
          <w:sz w:val="24"/>
          <w:szCs w:val="24"/>
        </w:rPr>
      </w:pPr>
      <w:r w:rsidRPr="00C96DA5">
        <w:rPr>
          <w:rFonts w:cs="Times New Roman"/>
          <w:b/>
          <w:sz w:val="24"/>
          <w:szCs w:val="24"/>
          <w:u w:val="single"/>
        </w:rPr>
        <w:t>Civil Jury Trials</w:t>
      </w:r>
      <w:r w:rsidRPr="00C96DA5">
        <w:rPr>
          <w:rFonts w:cs="Times New Roman"/>
          <w:sz w:val="24"/>
          <w:szCs w:val="24"/>
        </w:rPr>
        <w:t xml:space="preserve">.  For civil jury trials, this Division will generally follow the rules of civil jury trials, as set forth for Division </w:t>
      </w:r>
      <w:r>
        <w:rPr>
          <w:rFonts w:cs="Times New Roman"/>
          <w:sz w:val="24"/>
          <w:szCs w:val="24"/>
        </w:rPr>
        <w:t>7</w:t>
      </w:r>
      <w:r w:rsidRPr="00C96DA5">
        <w:rPr>
          <w:rFonts w:cs="Times New Roman"/>
          <w:sz w:val="24"/>
          <w:szCs w:val="24"/>
        </w:rPr>
        <w:t xml:space="preserve">, Judge </w:t>
      </w:r>
      <w:r>
        <w:rPr>
          <w:rFonts w:cs="Times New Roman"/>
          <w:sz w:val="24"/>
          <w:szCs w:val="24"/>
        </w:rPr>
        <w:t>Hauber</w:t>
      </w:r>
      <w:r w:rsidRPr="00C96DA5">
        <w:rPr>
          <w:rFonts w:cs="Times New Roman"/>
          <w:sz w:val="24"/>
          <w:szCs w:val="24"/>
        </w:rPr>
        <w:t xml:space="preserve">. </w:t>
      </w:r>
    </w:p>
    <w:p w:rsidR="00BD030C" w:rsidRPr="008C472A" w:rsidRDefault="00BD030C" w:rsidP="00BD030C">
      <w:pPr>
        <w:pStyle w:val="ListParagraph"/>
        <w:autoSpaceDE w:val="0"/>
        <w:autoSpaceDN w:val="0"/>
        <w:adjustRightInd w:val="0"/>
        <w:rPr>
          <w:rFonts w:cs="Times New Roman"/>
          <w:szCs w:val="26"/>
        </w:rPr>
      </w:pPr>
    </w:p>
    <w:p w:rsidR="00BD030C" w:rsidRPr="00C96DA5" w:rsidRDefault="00BD030C" w:rsidP="00BD030C">
      <w:pPr>
        <w:pStyle w:val="ListParagraph"/>
        <w:numPr>
          <w:ilvl w:val="0"/>
          <w:numId w:val="2"/>
        </w:numPr>
        <w:rPr>
          <w:rFonts w:cs="Times New Roman"/>
          <w:sz w:val="24"/>
          <w:szCs w:val="24"/>
        </w:rPr>
      </w:pPr>
      <w:r w:rsidRPr="00C96DA5">
        <w:rPr>
          <w:rFonts w:cs="Times New Roman"/>
          <w:b/>
          <w:sz w:val="24"/>
          <w:szCs w:val="24"/>
          <w:u w:val="single"/>
        </w:rPr>
        <w:t>Exhibits</w:t>
      </w:r>
      <w:r w:rsidRPr="00C96DA5">
        <w:rPr>
          <w:rFonts w:cs="Times New Roman"/>
          <w:sz w:val="24"/>
          <w:szCs w:val="24"/>
        </w:rPr>
        <w:t>.  Exhibits for any evidentiary hearing shall be pre-marked and exchanged at least one week prior to the hearing or as soon thereafter as possible.  The parties are expected to confer before the hearing regarding the exhibits to determine whether the admissibility of exhibits is in dispute and discuss the numbering or lettering system that will be used for the hearing.  A courtesy copy of all proposed exhibits shall be delivered to Division 15’s chambers at least one day prior to the hearing.  When exhibits are provided to Division 15, the exhibits should also contain an organized exhibit list that identifies each exhibit by number/letter and description.  A copy of a sample exhibit list at the bottom of these Rules.  The Court will meet with the parties or their counsel thirty (30) minutes prior to the start of the hearing to discuss exhibits and any other prehearing issues.</w:t>
      </w:r>
    </w:p>
    <w:p w:rsidR="00BD030C" w:rsidRPr="00C96DA5" w:rsidRDefault="00BD030C" w:rsidP="00BD030C">
      <w:pPr>
        <w:pStyle w:val="ListParagraph"/>
        <w:rPr>
          <w:rFonts w:cs="Times New Roman"/>
          <w:sz w:val="24"/>
          <w:szCs w:val="24"/>
        </w:rPr>
      </w:pPr>
    </w:p>
    <w:p w:rsidR="00BD030C" w:rsidRDefault="00BD030C">
      <w:pPr>
        <w:rPr>
          <w:rFonts w:cs="Times New Roman"/>
          <w:b/>
          <w:bCs/>
          <w:spacing w:val="-6"/>
          <w:w w:val="105"/>
          <w:szCs w:val="26"/>
        </w:rPr>
      </w:pPr>
      <w:r>
        <w:rPr>
          <w:rFonts w:cs="Times New Roman"/>
          <w:b/>
          <w:bCs/>
          <w:spacing w:val="-6"/>
          <w:w w:val="105"/>
          <w:szCs w:val="26"/>
        </w:rPr>
        <w:br w:type="page"/>
      </w:r>
    </w:p>
    <w:p w:rsidR="00BD030C" w:rsidRPr="00A30016" w:rsidRDefault="00BD030C" w:rsidP="00BD030C">
      <w:pPr>
        <w:jc w:val="center"/>
        <w:rPr>
          <w:rFonts w:cs="Times New Roman"/>
          <w:b/>
          <w:bCs/>
          <w:spacing w:val="-6"/>
          <w:w w:val="105"/>
          <w:szCs w:val="26"/>
        </w:rPr>
      </w:pPr>
      <w:r w:rsidRPr="00A30016">
        <w:rPr>
          <w:rFonts w:cs="Times New Roman"/>
          <w:b/>
          <w:bCs/>
          <w:spacing w:val="-6"/>
          <w:w w:val="105"/>
          <w:szCs w:val="26"/>
        </w:rPr>
        <w:t>IN THE DISTRICT COURT OF JOHNSON COUNTY, KANSAS</w:t>
      </w:r>
      <w:r w:rsidRPr="00A30016">
        <w:rPr>
          <w:rFonts w:cs="Times New Roman"/>
          <w:b/>
          <w:bCs/>
          <w:spacing w:val="-6"/>
          <w:w w:val="105"/>
          <w:szCs w:val="26"/>
        </w:rPr>
        <w:br/>
      </w:r>
      <w:r>
        <w:rPr>
          <w:rFonts w:cs="Times New Roman"/>
          <w:b/>
          <w:bCs/>
          <w:spacing w:val="-6"/>
          <w:w w:val="105"/>
          <w:szCs w:val="26"/>
        </w:rPr>
        <w:t>_______</w:t>
      </w:r>
      <w:r w:rsidRPr="00A30016">
        <w:rPr>
          <w:rFonts w:cs="Times New Roman"/>
          <w:b/>
          <w:bCs/>
          <w:spacing w:val="-6"/>
          <w:w w:val="105"/>
          <w:szCs w:val="26"/>
        </w:rPr>
        <w:t xml:space="preserve"> COURT DEPARTMENT</w:t>
      </w:r>
    </w:p>
    <w:p w:rsidR="00BD030C" w:rsidRPr="00A30016" w:rsidRDefault="00BD030C" w:rsidP="00BD030C">
      <w:pPr>
        <w:tabs>
          <w:tab w:val="right" w:pos="2995"/>
        </w:tabs>
        <w:rPr>
          <w:rFonts w:cs="Times New Roman"/>
          <w:b/>
          <w:bCs/>
          <w:spacing w:val="-9"/>
          <w:w w:val="105"/>
          <w:szCs w:val="26"/>
          <w:u w:val="single"/>
        </w:rPr>
      </w:pPr>
    </w:p>
    <w:p w:rsidR="00BD030C" w:rsidRPr="00A30016" w:rsidRDefault="00BD030C" w:rsidP="00BD030C">
      <w:pPr>
        <w:tabs>
          <w:tab w:val="right" w:pos="2995"/>
        </w:tabs>
        <w:rPr>
          <w:rFonts w:cs="Times New Roman"/>
          <w:b/>
          <w:bCs/>
          <w:spacing w:val="-9"/>
          <w:w w:val="105"/>
          <w:szCs w:val="26"/>
        </w:rPr>
      </w:pPr>
      <w:r>
        <w:rPr>
          <w:rFonts w:cs="Times New Roman"/>
          <w:b/>
          <w:bCs/>
          <w:spacing w:val="-9"/>
          <w:w w:val="105"/>
          <w:szCs w:val="26"/>
        </w:rPr>
        <w:t>*</w:t>
      </w:r>
      <w:r w:rsidRPr="00A30016">
        <w:rPr>
          <w:rFonts w:cs="Times New Roman"/>
          <w:b/>
          <w:bCs/>
          <w:spacing w:val="-9"/>
          <w:w w:val="105"/>
          <w:szCs w:val="26"/>
        </w:rPr>
        <w:t>,</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Pr>
          <w:rFonts w:cs="Times New Roman"/>
          <w:b/>
          <w:bCs/>
          <w:spacing w:val="-9"/>
          <w:w w:val="105"/>
          <w:szCs w:val="26"/>
        </w:rPr>
        <w:tab/>
      </w:r>
      <w:r w:rsidRPr="00A30016">
        <w:rPr>
          <w:rFonts w:cs="Times New Roman"/>
          <w:b/>
          <w:bCs/>
          <w:spacing w:val="-9"/>
          <w:w w:val="105"/>
          <w:szCs w:val="26"/>
        </w:rPr>
        <w:t>)</w:t>
      </w:r>
      <w:r w:rsidRPr="00A30016">
        <w:rPr>
          <w:rFonts w:cs="Times New Roman"/>
          <w:b/>
          <w:bCs/>
          <w:spacing w:val="-9"/>
          <w:w w:val="105"/>
          <w:szCs w:val="26"/>
        </w:rPr>
        <w:tab/>
      </w:r>
    </w:p>
    <w:p w:rsidR="00BD030C" w:rsidRDefault="00BD030C" w:rsidP="00BD030C">
      <w:pPr>
        <w:tabs>
          <w:tab w:val="right" w:pos="2995"/>
        </w:tabs>
        <w:rPr>
          <w:rFonts w:cs="Times New Roman"/>
          <w:b/>
          <w:bCs/>
          <w:spacing w:val="-9"/>
          <w:w w:val="105"/>
          <w:szCs w:val="26"/>
        </w:rPr>
      </w:pPr>
      <w:r>
        <w:rPr>
          <w:rFonts w:cs="Times New Roman"/>
          <w:b/>
          <w:bCs/>
          <w:spacing w:val="-9"/>
          <w:w w:val="105"/>
          <w:szCs w:val="26"/>
        </w:rPr>
        <w:tab/>
      </w:r>
      <w:r>
        <w:rPr>
          <w:rFonts w:cs="Times New Roman"/>
          <w:b/>
          <w:bCs/>
          <w:spacing w:val="-9"/>
          <w:w w:val="105"/>
          <w:szCs w:val="26"/>
        </w:rPr>
        <w:tab/>
      </w:r>
      <w:r>
        <w:rPr>
          <w:rFonts w:cs="Times New Roman"/>
          <w:b/>
          <w:bCs/>
          <w:spacing w:val="-9"/>
          <w:w w:val="105"/>
          <w:szCs w:val="26"/>
        </w:rPr>
        <w:tab/>
      </w:r>
      <w:r>
        <w:rPr>
          <w:rFonts w:cs="Times New Roman"/>
          <w:b/>
          <w:bCs/>
          <w:spacing w:val="-9"/>
          <w:w w:val="105"/>
          <w:szCs w:val="26"/>
        </w:rPr>
        <w:tab/>
        <w:t>)</w:t>
      </w:r>
      <w:r>
        <w:rPr>
          <w:rFonts w:cs="Times New Roman"/>
          <w:b/>
          <w:bCs/>
          <w:spacing w:val="-9"/>
          <w:w w:val="105"/>
          <w:szCs w:val="26"/>
        </w:rPr>
        <w:tab/>
        <w:t>Case No.</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p>
    <w:p w:rsidR="00BD030C" w:rsidRPr="00A30016" w:rsidRDefault="00BD030C" w:rsidP="00BD030C">
      <w:pPr>
        <w:tabs>
          <w:tab w:val="right" w:pos="2995"/>
        </w:tabs>
        <w:rPr>
          <w:rFonts w:cs="Times New Roman"/>
          <w:b/>
          <w:bCs/>
          <w:spacing w:val="-9"/>
          <w:w w:val="105"/>
          <w:szCs w:val="26"/>
        </w:rPr>
      </w:pPr>
      <w:r>
        <w:rPr>
          <w:rFonts w:cs="Times New Roman"/>
          <w:b/>
          <w:bCs/>
          <w:spacing w:val="-9"/>
          <w:w w:val="105"/>
          <w:szCs w:val="26"/>
        </w:rPr>
        <w:tab/>
      </w:r>
      <w:r w:rsidRPr="00A30016">
        <w:rPr>
          <w:rFonts w:cs="Times New Roman"/>
          <w:b/>
          <w:bCs/>
          <w:spacing w:val="-9"/>
          <w:w w:val="105"/>
          <w:szCs w:val="26"/>
        </w:rPr>
        <w:t xml:space="preserve">Plaintiff, </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r w:rsidRPr="00A30016">
        <w:rPr>
          <w:rFonts w:cs="Times New Roman"/>
          <w:b/>
          <w:bCs/>
          <w:spacing w:val="-9"/>
          <w:w w:val="105"/>
          <w:szCs w:val="26"/>
        </w:rPr>
        <w:tab/>
        <w:t xml:space="preserve">Division </w:t>
      </w:r>
    </w:p>
    <w:p w:rsidR="00BD030C" w:rsidRPr="00A30016" w:rsidRDefault="00BD030C" w:rsidP="00BD030C">
      <w:pPr>
        <w:tabs>
          <w:tab w:val="right" w:pos="720"/>
          <w:tab w:val="right" w:pos="1440"/>
          <w:tab w:val="right" w:pos="2995"/>
        </w:tabs>
        <w:rPr>
          <w:rFonts w:cs="Times New Roman"/>
          <w:b/>
          <w:bCs/>
          <w:spacing w:val="-9"/>
          <w:w w:val="105"/>
          <w:szCs w:val="26"/>
        </w:rPr>
      </w:pPr>
      <w:r w:rsidRPr="00A30016">
        <w:rPr>
          <w:rFonts w:cs="Times New Roman"/>
          <w:b/>
          <w:bCs/>
          <w:spacing w:val="-9"/>
          <w:w w:val="105"/>
          <w:szCs w:val="26"/>
        </w:rPr>
        <w:t>vs.</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r w:rsidRPr="00A30016">
        <w:rPr>
          <w:rFonts w:cs="Times New Roman"/>
          <w:b/>
          <w:bCs/>
          <w:spacing w:val="-9"/>
          <w:w w:val="105"/>
          <w:szCs w:val="26"/>
        </w:rPr>
        <w:tab/>
        <w:t xml:space="preserve">Chapter </w:t>
      </w:r>
    </w:p>
    <w:p w:rsidR="00BD030C" w:rsidRPr="00A30016" w:rsidRDefault="00BD030C" w:rsidP="00BD030C">
      <w:pPr>
        <w:tabs>
          <w:tab w:val="right" w:pos="720"/>
          <w:tab w:val="right" w:pos="1440"/>
          <w:tab w:val="right" w:pos="2995"/>
        </w:tabs>
        <w:rPr>
          <w:rFonts w:cs="Times New Roman"/>
          <w:b/>
          <w:bCs/>
          <w:spacing w:val="-9"/>
          <w:w w:val="105"/>
          <w:szCs w:val="26"/>
        </w:rPr>
      </w:pP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r w:rsidRPr="00A30016">
        <w:rPr>
          <w:rFonts w:cs="Times New Roman"/>
          <w:b/>
          <w:bCs/>
          <w:spacing w:val="-9"/>
          <w:w w:val="105"/>
          <w:szCs w:val="26"/>
        </w:rPr>
        <w:tab/>
      </w:r>
    </w:p>
    <w:p w:rsidR="00BD030C" w:rsidRPr="00A30016" w:rsidRDefault="00BD030C" w:rsidP="00BD030C">
      <w:pPr>
        <w:tabs>
          <w:tab w:val="right" w:pos="720"/>
          <w:tab w:val="right" w:pos="1440"/>
          <w:tab w:val="right" w:pos="2995"/>
        </w:tabs>
        <w:rPr>
          <w:rFonts w:cs="Times New Roman"/>
          <w:b/>
          <w:bCs/>
          <w:spacing w:val="-9"/>
          <w:w w:val="105"/>
          <w:szCs w:val="26"/>
        </w:rPr>
      </w:pPr>
      <w:r>
        <w:rPr>
          <w:rFonts w:cs="Times New Roman"/>
          <w:b/>
          <w:bCs/>
          <w:spacing w:val="-9"/>
          <w:w w:val="105"/>
          <w:szCs w:val="26"/>
        </w:rPr>
        <w:t>*</w:t>
      </w:r>
      <w:r w:rsidRPr="00A30016">
        <w:rPr>
          <w:rFonts w:cs="Times New Roman"/>
          <w:b/>
          <w:bCs/>
          <w:spacing w:val="-9"/>
          <w:w w:val="105"/>
          <w:szCs w:val="26"/>
        </w:rPr>
        <w:t>,</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Pr>
          <w:rFonts w:cs="Times New Roman"/>
          <w:b/>
          <w:bCs/>
          <w:spacing w:val="-9"/>
          <w:w w:val="105"/>
          <w:szCs w:val="26"/>
        </w:rPr>
        <w:tab/>
      </w:r>
      <w:r>
        <w:rPr>
          <w:rFonts w:cs="Times New Roman"/>
          <w:b/>
          <w:bCs/>
          <w:spacing w:val="-9"/>
          <w:w w:val="105"/>
          <w:szCs w:val="26"/>
        </w:rPr>
        <w:tab/>
      </w:r>
      <w:r w:rsidRPr="00A30016">
        <w:rPr>
          <w:rFonts w:cs="Times New Roman"/>
          <w:b/>
          <w:bCs/>
          <w:spacing w:val="-9"/>
          <w:w w:val="105"/>
          <w:szCs w:val="26"/>
        </w:rPr>
        <w:t>)</w:t>
      </w:r>
    </w:p>
    <w:p w:rsidR="00BD030C" w:rsidRPr="00A30016" w:rsidRDefault="00BD030C" w:rsidP="00BD030C">
      <w:pPr>
        <w:tabs>
          <w:tab w:val="right" w:pos="720"/>
          <w:tab w:val="right" w:pos="1440"/>
          <w:tab w:val="right" w:pos="2995"/>
        </w:tabs>
        <w:rPr>
          <w:rFonts w:cs="Times New Roman"/>
          <w:b/>
          <w:bCs/>
          <w:spacing w:val="-9"/>
          <w:w w:val="105"/>
          <w:szCs w:val="26"/>
        </w:rPr>
      </w:pP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Defendant</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p>
    <w:p w:rsidR="00BD030C" w:rsidRPr="00A30016" w:rsidRDefault="00BD030C" w:rsidP="00BD030C">
      <w:pPr>
        <w:tabs>
          <w:tab w:val="right" w:pos="720"/>
          <w:tab w:val="right" w:pos="1440"/>
          <w:tab w:val="right" w:pos="2995"/>
        </w:tabs>
        <w:rPr>
          <w:rFonts w:cs="Times New Roman"/>
          <w:b/>
          <w:bCs/>
          <w:spacing w:val="-9"/>
          <w:w w:val="105"/>
          <w:szCs w:val="26"/>
        </w:rPr>
      </w:pPr>
    </w:p>
    <w:p w:rsidR="00BD030C" w:rsidRPr="00A30016" w:rsidRDefault="00BD030C" w:rsidP="00BD030C">
      <w:pPr>
        <w:tabs>
          <w:tab w:val="center" w:pos="4680"/>
        </w:tabs>
        <w:rPr>
          <w:rFonts w:cs="Times New Roman"/>
        </w:rPr>
      </w:pPr>
      <w:r w:rsidRPr="00A30016">
        <w:rPr>
          <w:rFonts w:cs="Times New Roman"/>
          <w:b/>
          <w:bCs/>
        </w:rPr>
        <w:tab/>
      </w:r>
      <w:r w:rsidRPr="00A30016">
        <w:rPr>
          <w:rFonts w:cs="Times New Roman"/>
          <w:b/>
          <w:bCs/>
          <w:u w:val="single"/>
        </w:rPr>
        <w:t>E X H I B I T S</w:t>
      </w:r>
    </w:p>
    <w:p w:rsidR="00BD030C" w:rsidRPr="00A30016" w:rsidRDefault="00BD030C" w:rsidP="00BD030C">
      <w:pPr>
        <w:jc w:val="center"/>
        <w:rPr>
          <w:rFonts w:cs="Times New Roman"/>
        </w:rPr>
      </w:pPr>
      <w:r>
        <w:rPr>
          <w:rFonts w:cs="Times New Roman"/>
        </w:rPr>
        <w:t>(page 1 of __)</w:t>
      </w:r>
    </w:p>
    <w:p w:rsidR="00BD030C" w:rsidRPr="00A30016" w:rsidRDefault="00BD030C" w:rsidP="00BD030C">
      <w:pPr>
        <w:ind w:left="-1008" w:right="-994"/>
        <w:rPr>
          <w:rFonts w:cs="Times New Roman"/>
        </w:rPr>
      </w:pPr>
      <w:r>
        <w:rPr>
          <w:rFonts w:cs="Times New Roman"/>
        </w:rPr>
        <w:t>A</w:t>
      </w:r>
      <w:r w:rsidRPr="00A30016">
        <w:rPr>
          <w:rFonts w:cs="Times New Roman"/>
        </w:rPr>
        <w:t xml:space="preserve">  = Offered &amp; admitted w/o objection</w:t>
      </w:r>
      <w:r w:rsidRPr="00A30016">
        <w:rPr>
          <w:rFonts w:cs="Times New Roman"/>
        </w:rPr>
        <w:tab/>
        <w:t xml:space="preserve"> </w:t>
      </w:r>
      <w:r>
        <w:rPr>
          <w:rFonts w:cs="Times New Roman"/>
        </w:rPr>
        <w:tab/>
      </w:r>
      <w:r>
        <w:rPr>
          <w:rFonts w:cs="Times New Roman"/>
        </w:rPr>
        <w:tab/>
      </w:r>
      <w:r w:rsidRPr="00A30016">
        <w:rPr>
          <w:rFonts w:cs="Times New Roman"/>
        </w:rPr>
        <w:t xml:space="preserve">D.B. = Admitted, </w:t>
      </w:r>
      <w:r w:rsidRPr="00A30016">
        <w:rPr>
          <w:rFonts w:cs="Times New Roman"/>
          <w:u w:val="single"/>
        </w:rPr>
        <w:t>de bene</w:t>
      </w:r>
    </w:p>
    <w:p w:rsidR="00BD030C" w:rsidRPr="00A30016" w:rsidRDefault="00BD030C" w:rsidP="00BD030C">
      <w:pPr>
        <w:ind w:left="-1008" w:right="-994"/>
        <w:rPr>
          <w:rFonts w:cs="Times New Roman"/>
        </w:rPr>
      </w:pPr>
      <w:r w:rsidRPr="00A30016">
        <w:rPr>
          <w:rFonts w:cs="Times New Roman"/>
        </w:rPr>
        <w:t>X  = Offered &amp; admitted over objection</w:t>
      </w:r>
      <w:r w:rsidRPr="00A30016">
        <w:rPr>
          <w:rFonts w:cs="Times New Roman"/>
        </w:rPr>
        <w:tab/>
        <w:t xml:space="preserve"> </w:t>
      </w:r>
      <w:r>
        <w:rPr>
          <w:rFonts w:cs="Times New Roman"/>
        </w:rPr>
        <w:tab/>
      </w:r>
      <w:r>
        <w:rPr>
          <w:rFonts w:cs="Times New Roman"/>
        </w:rPr>
        <w:tab/>
      </w:r>
      <w:r w:rsidRPr="00A30016">
        <w:rPr>
          <w:rFonts w:cs="Times New Roman"/>
        </w:rPr>
        <w:t>W.D. = Offered then withdrawn</w:t>
      </w:r>
    </w:p>
    <w:p w:rsidR="00BD030C" w:rsidRPr="00A30016" w:rsidRDefault="00BD030C" w:rsidP="00BD030C">
      <w:pPr>
        <w:ind w:left="-1008" w:right="-994"/>
        <w:rPr>
          <w:rFonts w:cs="Times New Roman"/>
        </w:rPr>
      </w:pPr>
      <w:r w:rsidRPr="00A30016">
        <w:rPr>
          <w:rFonts w:cs="Times New Roman"/>
        </w:rPr>
        <w:t xml:space="preserve">Ex = Offered but objected to &amp; excluded  </w:t>
      </w:r>
      <w:r>
        <w:rPr>
          <w:rFonts w:cs="Times New Roman"/>
        </w:rPr>
        <w:tab/>
      </w:r>
      <w:r>
        <w:rPr>
          <w:rFonts w:cs="Times New Roman"/>
        </w:rPr>
        <w:tab/>
      </w:r>
      <w:r>
        <w:rPr>
          <w:rFonts w:cs="Times New Roman"/>
        </w:rPr>
        <w:tab/>
      </w:r>
      <w:r w:rsidRPr="00A30016">
        <w:rPr>
          <w:rFonts w:cs="Times New Roman"/>
        </w:rPr>
        <w:t>Ltd. = Admitted for limited purposes</w:t>
      </w:r>
    </w:p>
    <w:p w:rsidR="00BD030C" w:rsidRPr="00A30016" w:rsidRDefault="00BD030C" w:rsidP="00BD030C">
      <w:pPr>
        <w:ind w:left="-1008" w:right="-994"/>
        <w:rPr>
          <w:rFonts w:cs="Times New Roman"/>
        </w:rPr>
      </w:pPr>
      <w:r w:rsidRPr="00A30016">
        <w:rPr>
          <w:rFonts w:cs="Times New Roman"/>
        </w:rPr>
        <w:t>N.O.= Marked but not offered</w:t>
      </w:r>
    </w:p>
    <w:tbl>
      <w:tblPr>
        <w:tblW w:w="0" w:type="auto"/>
        <w:tblInd w:w="-869" w:type="dxa"/>
        <w:tblLayout w:type="fixed"/>
        <w:tblCellMar>
          <w:left w:w="139" w:type="dxa"/>
          <w:right w:w="139" w:type="dxa"/>
        </w:tblCellMar>
        <w:tblLook w:val="0000" w:firstRow="0" w:lastRow="0" w:firstColumn="0" w:lastColumn="0" w:noHBand="0" w:noVBand="0"/>
      </w:tblPr>
      <w:tblGrid>
        <w:gridCol w:w="1440"/>
        <w:gridCol w:w="1440"/>
        <w:gridCol w:w="1440"/>
        <w:gridCol w:w="1440"/>
        <w:gridCol w:w="5601"/>
      </w:tblGrid>
      <w:tr w:rsidR="00BD030C" w:rsidRPr="00A30016" w:rsidTr="00ED489E">
        <w:tc>
          <w:tcPr>
            <w:tcW w:w="1440" w:type="dxa"/>
            <w:tcBorders>
              <w:top w:val="double" w:sz="7" w:space="0" w:color="000000"/>
              <w:left w:val="doub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r w:rsidRPr="00A30016">
              <w:rPr>
                <w:rFonts w:cs="Times New Roman"/>
              </w:rPr>
              <w:t>Exhibit</w:t>
            </w:r>
          </w:p>
          <w:p w:rsidR="00BD030C" w:rsidRPr="00A30016" w:rsidRDefault="00BD030C" w:rsidP="00ED489E">
            <w:pPr>
              <w:rPr>
                <w:rFonts w:cs="Times New Roman"/>
              </w:rPr>
            </w:pPr>
            <w:r w:rsidRPr="00A30016">
              <w:rPr>
                <w:rFonts w:cs="Times New Roman"/>
              </w:rPr>
              <w:t>Number</w:t>
            </w:r>
          </w:p>
        </w:tc>
        <w:tc>
          <w:tcPr>
            <w:tcW w:w="1440" w:type="dxa"/>
            <w:tcBorders>
              <w:top w:val="double" w:sz="7" w:space="0" w:color="000000"/>
              <w:left w:val="sing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r w:rsidRPr="00A30016">
              <w:rPr>
                <w:rFonts w:cs="Times New Roman"/>
              </w:rPr>
              <w:t>Action</w:t>
            </w:r>
          </w:p>
          <w:p w:rsidR="00BD030C" w:rsidRPr="00A30016" w:rsidRDefault="00BD030C" w:rsidP="00ED489E">
            <w:pPr>
              <w:rPr>
                <w:rFonts w:cs="Times New Roman"/>
              </w:rPr>
            </w:pPr>
            <w:r w:rsidRPr="00A30016">
              <w:rPr>
                <w:rFonts w:cs="Times New Roman"/>
              </w:rPr>
              <w:t>Taken</w:t>
            </w:r>
          </w:p>
        </w:tc>
        <w:tc>
          <w:tcPr>
            <w:tcW w:w="1440" w:type="dxa"/>
            <w:tcBorders>
              <w:top w:val="double" w:sz="7" w:space="0" w:color="000000"/>
              <w:left w:val="sing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p>
          <w:p w:rsidR="00BD030C" w:rsidRPr="00A30016" w:rsidRDefault="00BD030C" w:rsidP="00ED489E">
            <w:pPr>
              <w:rPr>
                <w:rFonts w:cs="Times New Roman"/>
              </w:rPr>
            </w:pPr>
            <w:r w:rsidRPr="00A30016">
              <w:rPr>
                <w:rFonts w:cs="Times New Roman"/>
              </w:rPr>
              <w:t>Date</w:t>
            </w:r>
          </w:p>
        </w:tc>
        <w:tc>
          <w:tcPr>
            <w:tcW w:w="1440" w:type="dxa"/>
            <w:tcBorders>
              <w:top w:val="double" w:sz="7" w:space="0" w:color="000000"/>
              <w:left w:val="sing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p>
          <w:p w:rsidR="00BD030C" w:rsidRPr="00A30016" w:rsidRDefault="00BD030C" w:rsidP="00ED489E">
            <w:pPr>
              <w:rPr>
                <w:rFonts w:cs="Times New Roman"/>
              </w:rPr>
            </w:pPr>
            <w:r w:rsidRPr="00A30016">
              <w:rPr>
                <w:rFonts w:cs="Times New Roman"/>
              </w:rPr>
              <w:t>Time</w:t>
            </w:r>
          </w:p>
        </w:tc>
        <w:tc>
          <w:tcPr>
            <w:tcW w:w="5601" w:type="dxa"/>
            <w:tcBorders>
              <w:top w:val="double" w:sz="7" w:space="0" w:color="000000"/>
              <w:left w:val="single" w:sz="7" w:space="0" w:color="000000"/>
              <w:bottom w:val="single" w:sz="6" w:space="0" w:color="FFFFFF"/>
              <w:right w:val="double" w:sz="7" w:space="0" w:color="000000"/>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p>
          <w:p w:rsidR="00BD030C" w:rsidRPr="00A30016" w:rsidRDefault="00BD030C" w:rsidP="00ED489E">
            <w:pPr>
              <w:rPr>
                <w:rFonts w:cs="Times New Roman"/>
              </w:rPr>
            </w:pPr>
            <w:r w:rsidRPr="00A30016">
              <w:rPr>
                <w:rFonts w:cs="Times New Roman"/>
              </w:rPr>
              <w:t>Description</w:t>
            </w: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jc w:val="center"/>
              <w:rPr>
                <w:rFonts w:cs="Times New Roman"/>
              </w:rPr>
            </w:pPr>
          </w:p>
          <w:p w:rsidR="00BD030C" w:rsidRPr="00A30016" w:rsidRDefault="00BD030C" w:rsidP="00ED489E">
            <w:pPr>
              <w:jc w:val="center"/>
              <w:rPr>
                <w:rFonts w:cs="Times New Roman"/>
              </w:rPr>
            </w:pPr>
          </w:p>
        </w:tc>
        <w:tc>
          <w:tcPr>
            <w:tcW w:w="5601"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double" w:sz="7" w:space="0" w:color="000000"/>
              <w:right w:val="single" w:sz="6" w:space="0" w:color="FFFFFF"/>
            </w:tcBorders>
          </w:tcPr>
          <w:p w:rsidR="00BD030C" w:rsidRPr="00A30016" w:rsidRDefault="00BD030C" w:rsidP="00ED489E">
            <w:pPr>
              <w:jc w:val="center"/>
              <w:rPr>
                <w:rFonts w:cs="Times New Roman"/>
              </w:rPr>
            </w:pPr>
          </w:p>
          <w:p w:rsidR="00BD030C" w:rsidRPr="00A30016" w:rsidRDefault="00BD030C" w:rsidP="00ED489E">
            <w:pPr>
              <w:spacing w:after="58"/>
              <w:jc w:val="center"/>
              <w:rPr>
                <w:rFonts w:cs="Times New Roman"/>
              </w:rPr>
            </w:pPr>
          </w:p>
        </w:tc>
        <w:tc>
          <w:tcPr>
            <w:tcW w:w="1440" w:type="dxa"/>
            <w:tcBorders>
              <w:top w:val="single" w:sz="7" w:space="0" w:color="000000"/>
              <w:left w:val="single" w:sz="7" w:space="0" w:color="000000"/>
              <w:bottom w:val="double" w:sz="7" w:space="0" w:color="000000"/>
              <w:right w:val="single" w:sz="6" w:space="0" w:color="FFFFFF"/>
            </w:tcBorders>
          </w:tcPr>
          <w:p w:rsidR="00BD030C" w:rsidRPr="00A30016" w:rsidRDefault="00BD030C" w:rsidP="00ED489E">
            <w:pPr>
              <w:jc w:val="center"/>
              <w:rPr>
                <w:rFonts w:cs="Times New Roman"/>
              </w:rPr>
            </w:pPr>
          </w:p>
          <w:p w:rsidR="00BD030C" w:rsidRPr="00A30016" w:rsidRDefault="00BD030C" w:rsidP="00ED489E">
            <w:pPr>
              <w:spacing w:after="58"/>
              <w:jc w:val="center"/>
              <w:rPr>
                <w:rFonts w:cs="Times New Roman"/>
              </w:rPr>
            </w:pPr>
          </w:p>
        </w:tc>
        <w:tc>
          <w:tcPr>
            <w:tcW w:w="1440" w:type="dxa"/>
            <w:tcBorders>
              <w:top w:val="single" w:sz="7" w:space="0" w:color="000000"/>
              <w:left w:val="single" w:sz="7" w:space="0" w:color="000000"/>
              <w:bottom w:val="double" w:sz="7" w:space="0" w:color="000000"/>
              <w:right w:val="single" w:sz="6" w:space="0" w:color="FFFFFF"/>
            </w:tcBorders>
          </w:tcPr>
          <w:p w:rsidR="00BD030C" w:rsidRPr="00A30016" w:rsidRDefault="00BD030C" w:rsidP="00ED489E">
            <w:pPr>
              <w:jc w:val="center"/>
              <w:rPr>
                <w:rFonts w:cs="Times New Roman"/>
              </w:rPr>
            </w:pPr>
          </w:p>
          <w:p w:rsidR="00BD030C" w:rsidRPr="00A30016" w:rsidRDefault="00BD030C" w:rsidP="00ED489E">
            <w:pPr>
              <w:spacing w:after="58"/>
              <w:jc w:val="center"/>
              <w:rPr>
                <w:rFonts w:cs="Times New Roman"/>
              </w:rPr>
            </w:pPr>
          </w:p>
        </w:tc>
        <w:tc>
          <w:tcPr>
            <w:tcW w:w="1440" w:type="dxa"/>
            <w:tcBorders>
              <w:top w:val="single" w:sz="7" w:space="0" w:color="000000"/>
              <w:left w:val="single" w:sz="7" w:space="0" w:color="000000"/>
              <w:bottom w:val="double" w:sz="7" w:space="0" w:color="000000"/>
              <w:right w:val="single" w:sz="6" w:space="0" w:color="FFFFFF"/>
            </w:tcBorders>
          </w:tcPr>
          <w:p w:rsidR="00BD030C" w:rsidRPr="00A30016" w:rsidRDefault="00BD030C" w:rsidP="00ED489E">
            <w:pPr>
              <w:jc w:val="center"/>
              <w:rPr>
                <w:rFonts w:cs="Times New Roman"/>
              </w:rPr>
            </w:pPr>
          </w:p>
          <w:p w:rsidR="00BD030C" w:rsidRPr="00A30016" w:rsidRDefault="00BD030C" w:rsidP="00ED489E">
            <w:pPr>
              <w:spacing w:after="58"/>
              <w:jc w:val="center"/>
              <w:rPr>
                <w:rFonts w:cs="Times New Roman"/>
              </w:rPr>
            </w:pPr>
          </w:p>
        </w:tc>
        <w:tc>
          <w:tcPr>
            <w:tcW w:w="5601" w:type="dxa"/>
            <w:tcBorders>
              <w:top w:val="single" w:sz="7" w:space="0" w:color="000000"/>
              <w:left w:val="single" w:sz="7" w:space="0" w:color="000000"/>
              <w:bottom w:val="double" w:sz="7" w:space="0" w:color="000000"/>
              <w:right w:val="double" w:sz="7" w:space="0" w:color="000000"/>
            </w:tcBorders>
          </w:tcPr>
          <w:p w:rsidR="00BD030C" w:rsidRPr="00A30016" w:rsidRDefault="00BD030C" w:rsidP="00ED489E">
            <w:pPr>
              <w:rPr>
                <w:rFonts w:cs="Times New Roman"/>
              </w:rPr>
            </w:pPr>
          </w:p>
          <w:p w:rsidR="00BD030C" w:rsidRPr="00A30016" w:rsidRDefault="00BD030C" w:rsidP="00ED489E">
            <w:pPr>
              <w:spacing w:after="58"/>
              <w:rPr>
                <w:rFonts w:cs="Times New Roman"/>
              </w:rPr>
            </w:pPr>
          </w:p>
        </w:tc>
      </w:tr>
    </w:tbl>
    <w:p w:rsidR="00BD030C" w:rsidRPr="00A30016" w:rsidRDefault="00BD030C" w:rsidP="00BD030C">
      <w:pPr>
        <w:ind w:left="-1008" w:right="-994"/>
        <w:rPr>
          <w:rFonts w:cs="Times New Roman"/>
        </w:rPr>
      </w:pPr>
    </w:p>
    <w:p w:rsidR="00BD030C" w:rsidRDefault="00BD030C" w:rsidP="00BD030C">
      <w:pPr>
        <w:spacing w:after="200" w:line="276" w:lineRule="auto"/>
        <w:rPr>
          <w:rFonts w:cs="Times New Roman"/>
          <w:b/>
          <w:bCs/>
          <w:spacing w:val="-6"/>
          <w:w w:val="105"/>
          <w:szCs w:val="26"/>
        </w:rPr>
      </w:pPr>
      <w:r>
        <w:rPr>
          <w:rFonts w:cs="Times New Roman"/>
          <w:b/>
          <w:bCs/>
          <w:spacing w:val="-6"/>
          <w:w w:val="105"/>
          <w:szCs w:val="26"/>
        </w:rPr>
        <w:br w:type="page"/>
      </w:r>
    </w:p>
    <w:p w:rsidR="00BD030C" w:rsidRPr="00A30016" w:rsidRDefault="00BD030C" w:rsidP="00BD030C">
      <w:pPr>
        <w:jc w:val="center"/>
        <w:rPr>
          <w:rFonts w:cs="Times New Roman"/>
          <w:b/>
          <w:bCs/>
          <w:spacing w:val="-6"/>
          <w:w w:val="105"/>
          <w:szCs w:val="26"/>
        </w:rPr>
      </w:pPr>
      <w:r w:rsidRPr="00A30016">
        <w:rPr>
          <w:rFonts w:cs="Times New Roman"/>
          <w:b/>
          <w:bCs/>
          <w:spacing w:val="-6"/>
          <w:w w:val="105"/>
          <w:szCs w:val="26"/>
        </w:rPr>
        <w:t>IN THE DISTRICT COURT OF JOHNSON COUNTY, KANSAS</w:t>
      </w:r>
      <w:r w:rsidRPr="00A30016">
        <w:rPr>
          <w:rFonts w:cs="Times New Roman"/>
          <w:b/>
          <w:bCs/>
          <w:spacing w:val="-6"/>
          <w:w w:val="105"/>
          <w:szCs w:val="26"/>
        </w:rPr>
        <w:br/>
      </w:r>
      <w:r>
        <w:rPr>
          <w:rFonts w:cs="Times New Roman"/>
          <w:b/>
          <w:bCs/>
          <w:spacing w:val="-6"/>
          <w:w w:val="105"/>
          <w:szCs w:val="26"/>
        </w:rPr>
        <w:t>_______</w:t>
      </w:r>
      <w:r w:rsidRPr="00A30016">
        <w:rPr>
          <w:rFonts w:cs="Times New Roman"/>
          <w:b/>
          <w:bCs/>
          <w:spacing w:val="-6"/>
          <w:w w:val="105"/>
          <w:szCs w:val="26"/>
        </w:rPr>
        <w:t xml:space="preserve"> COURT DEPARTMENT</w:t>
      </w:r>
    </w:p>
    <w:p w:rsidR="00BD030C" w:rsidRPr="00A30016" w:rsidRDefault="00BD030C" w:rsidP="00BD030C">
      <w:pPr>
        <w:tabs>
          <w:tab w:val="right" w:pos="2995"/>
        </w:tabs>
        <w:rPr>
          <w:rFonts w:cs="Times New Roman"/>
          <w:b/>
          <w:bCs/>
          <w:spacing w:val="-9"/>
          <w:w w:val="105"/>
          <w:szCs w:val="26"/>
          <w:u w:val="single"/>
        </w:rPr>
      </w:pPr>
    </w:p>
    <w:p w:rsidR="00BD030C" w:rsidRPr="00A30016" w:rsidRDefault="00BD030C" w:rsidP="00BD030C">
      <w:pPr>
        <w:tabs>
          <w:tab w:val="right" w:pos="2995"/>
        </w:tabs>
        <w:rPr>
          <w:rFonts w:cs="Times New Roman"/>
          <w:b/>
          <w:bCs/>
          <w:spacing w:val="-9"/>
          <w:w w:val="105"/>
          <w:szCs w:val="26"/>
        </w:rPr>
      </w:pPr>
      <w:r>
        <w:rPr>
          <w:rFonts w:cs="Times New Roman"/>
          <w:b/>
          <w:bCs/>
          <w:spacing w:val="-9"/>
          <w:w w:val="105"/>
          <w:szCs w:val="26"/>
        </w:rPr>
        <w:t>*</w:t>
      </w:r>
      <w:r w:rsidRPr="00A30016">
        <w:rPr>
          <w:rFonts w:cs="Times New Roman"/>
          <w:b/>
          <w:bCs/>
          <w:spacing w:val="-9"/>
          <w:w w:val="105"/>
          <w:szCs w:val="26"/>
        </w:rPr>
        <w:t>,</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Pr>
          <w:rFonts w:cs="Times New Roman"/>
          <w:b/>
          <w:bCs/>
          <w:spacing w:val="-9"/>
          <w:w w:val="105"/>
          <w:szCs w:val="26"/>
        </w:rPr>
        <w:tab/>
      </w:r>
      <w:r w:rsidRPr="00A30016">
        <w:rPr>
          <w:rFonts w:cs="Times New Roman"/>
          <w:b/>
          <w:bCs/>
          <w:spacing w:val="-9"/>
          <w:w w:val="105"/>
          <w:szCs w:val="26"/>
        </w:rPr>
        <w:t>)</w:t>
      </w:r>
      <w:r w:rsidRPr="00A30016">
        <w:rPr>
          <w:rFonts w:cs="Times New Roman"/>
          <w:b/>
          <w:bCs/>
          <w:spacing w:val="-9"/>
          <w:w w:val="105"/>
          <w:szCs w:val="26"/>
        </w:rPr>
        <w:tab/>
      </w:r>
    </w:p>
    <w:p w:rsidR="00BD030C" w:rsidRDefault="00BD030C" w:rsidP="00BD030C">
      <w:pPr>
        <w:tabs>
          <w:tab w:val="right" w:pos="2995"/>
        </w:tabs>
        <w:rPr>
          <w:rFonts w:cs="Times New Roman"/>
          <w:b/>
          <w:bCs/>
          <w:spacing w:val="-9"/>
          <w:w w:val="105"/>
          <w:szCs w:val="26"/>
        </w:rPr>
      </w:pPr>
      <w:r>
        <w:rPr>
          <w:rFonts w:cs="Times New Roman"/>
          <w:b/>
          <w:bCs/>
          <w:spacing w:val="-9"/>
          <w:w w:val="105"/>
          <w:szCs w:val="26"/>
        </w:rPr>
        <w:tab/>
      </w:r>
      <w:r>
        <w:rPr>
          <w:rFonts w:cs="Times New Roman"/>
          <w:b/>
          <w:bCs/>
          <w:spacing w:val="-9"/>
          <w:w w:val="105"/>
          <w:szCs w:val="26"/>
        </w:rPr>
        <w:tab/>
      </w:r>
      <w:r>
        <w:rPr>
          <w:rFonts w:cs="Times New Roman"/>
          <w:b/>
          <w:bCs/>
          <w:spacing w:val="-9"/>
          <w:w w:val="105"/>
          <w:szCs w:val="26"/>
        </w:rPr>
        <w:tab/>
      </w:r>
      <w:r>
        <w:rPr>
          <w:rFonts w:cs="Times New Roman"/>
          <w:b/>
          <w:bCs/>
          <w:spacing w:val="-9"/>
          <w:w w:val="105"/>
          <w:szCs w:val="26"/>
        </w:rPr>
        <w:tab/>
        <w:t>)</w:t>
      </w:r>
      <w:r>
        <w:rPr>
          <w:rFonts w:cs="Times New Roman"/>
          <w:b/>
          <w:bCs/>
          <w:spacing w:val="-9"/>
          <w:w w:val="105"/>
          <w:szCs w:val="26"/>
        </w:rPr>
        <w:tab/>
        <w:t>Case No.</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p>
    <w:p w:rsidR="00BD030C" w:rsidRPr="00A30016" w:rsidRDefault="00BD030C" w:rsidP="00BD030C">
      <w:pPr>
        <w:tabs>
          <w:tab w:val="right" w:pos="2995"/>
        </w:tabs>
        <w:rPr>
          <w:rFonts w:cs="Times New Roman"/>
          <w:b/>
          <w:bCs/>
          <w:spacing w:val="-9"/>
          <w:w w:val="105"/>
          <w:szCs w:val="26"/>
        </w:rPr>
      </w:pPr>
      <w:r>
        <w:rPr>
          <w:rFonts w:cs="Times New Roman"/>
          <w:b/>
          <w:bCs/>
          <w:spacing w:val="-9"/>
          <w:w w:val="105"/>
          <w:szCs w:val="26"/>
        </w:rPr>
        <w:tab/>
      </w:r>
      <w:r w:rsidRPr="00A30016">
        <w:rPr>
          <w:rFonts w:cs="Times New Roman"/>
          <w:b/>
          <w:bCs/>
          <w:spacing w:val="-9"/>
          <w:w w:val="105"/>
          <w:szCs w:val="26"/>
        </w:rPr>
        <w:t xml:space="preserve">Plaintiff, </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r w:rsidRPr="00A30016">
        <w:rPr>
          <w:rFonts w:cs="Times New Roman"/>
          <w:b/>
          <w:bCs/>
          <w:spacing w:val="-9"/>
          <w:w w:val="105"/>
          <w:szCs w:val="26"/>
        </w:rPr>
        <w:tab/>
        <w:t xml:space="preserve">Division </w:t>
      </w:r>
    </w:p>
    <w:p w:rsidR="00BD030C" w:rsidRPr="00A30016" w:rsidRDefault="00BD030C" w:rsidP="00BD030C">
      <w:pPr>
        <w:tabs>
          <w:tab w:val="right" w:pos="720"/>
          <w:tab w:val="right" w:pos="1440"/>
          <w:tab w:val="right" w:pos="2995"/>
        </w:tabs>
        <w:rPr>
          <w:rFonts w:cs="Times New Roman"/>
          <w:b/>
          <w:bCs/>
          <w:spacing w:val="-9"/>
          <w:w w:val="105"/>
          <w:szCs w:val="26"/>
        </w:rPr>
      </w:pPr>
      <w:r w:rsidRPr="00A30016">
        <w:rPr>
          <w:rFonts w:cs="Times New Roman"/>
          <w:b/>
          <w:bCs/>
          <w:spacing w:val="-9"/>
          <w:w w:val="105"/>
          <w:szCs w:val="26"/>
        </w:rPr>
        <w:t>vs.</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r w:rsidRPr="00A30016">
        <w:rPr>
          <w:rFonts w:cs="Times New Roman"/>
          <w:b/>
          <w:bCs/>
          <w:spacing w:val="-9"/>
          <w:w w:val="105"/>
          <w:szCs w:val="26"/>
        </w:rPr>
        <w:tab/>
        <w:t xml:space="preserve">Chapter </w:t>
      </w:r>
    </w:p>
    <w:p w:rsidR="00BD030C" w:rsidRPr="00A30016" w:rsidRDefault="00BD030C" w:rsidP="00BD030C">
      <w:pPr>
        <w:tabs>
          <w:tab w:val="right" w:pos="720"/>
          <w:tab w:val="right" w:pos="1440"/>
          <w:tab w:val="right" w:pos="2995"/>
        </w:tabs>
        <w:rPr>
          <w:rFonts w:cs="Times New Roman"/>
          <w:b/>
          <w:bCs/>
          <w:spacing w:val="-9"/>
          <w:w w:val="105"/>
          <w:szCs w:val="26"/>
        </w:rPr>
      </w:pP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r w:rsidRPr="00A30016">
        <w:rPr>
          <w:rFonts w:cs="Times New Roman"/>
          <w:b/>
          <w:bCs/>
          <w:spacing w:val="-9"/>
          <w:w w:val="105"/>
          <w:szCs w:val="26"/>
        </w:rPr>
        <w:tab/>
      </w:r>
    </w:p>
    <w:p w:rsidR="00BD030C" w:rsidRPr="00A30016" w:rsidRDefault="00BD030C" w:rsidP="00BD030C">
      <w:pPr>
        <w:tabs>
          <w:tab w:val="right" w:pos="720"/>
          <w:tab w:val="right" w:pos="1440"/>
          <w:tab w:val="right" w:pos="2995"/>
        </w:tabs>
        <w:rPr>
          <w:rFonts w:cs="Times New Roman"/>
          <w:b/>
          <w:bCs/>
          <w:spacing w:val="-9"/>
          <w:w w:val="105"/>
          <w:szCs w:val="26"/>
        </w:rPr>
      </w:pPr>
      <w:r>
        <w:rPr>
          <w:rFonts w:cs="Times New Roman"/>
          <w:b/>
          <w:bCs/>
          <w:spacing w:val="-9"/>
          <w:w w:val="105"/>
          <w:szCs w:val="26"/>
        </w:rPr>
        <w:t>*</w:t>
      </w:r>
      <w:r w:rsidRPr="00A30016">
        <w:rPr>
          <w:rFonts w:cs="Times New Roman"/>
          <w:b/>
          <w:bCs/>
          <w:spacing w:val="-9"/>
          <w:w w:val="105"/>
          <w:szCs w:val="26"/>
        </w:rPr>
        <w:t>,</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r>
      <w:r>
        <w:rPr>
          <w:rFonts w:cs="Times New Roman"/>
          <w:b/>
          <w:bCs/>
          <w:spacing w:val="-9"/>
          <w:w w:val="105"/>
          <w:szCs w:val="26"/>
        </w:rPr>
        <w:tab/>
      </w:r>
      <w:r>
        <w:rPr>
          <w:rFonts w:cs="Times New Roman"/>
          <w:b/>
          <w:bCs/>
          <w:spacing w:val="-9"/>
          <w:w w:val="105"/>
          <w:szCs w:val="26"/>
        </w:rPr>
        <w:tab/>
      </w:r>
      <w:r w:rsidRPr="00A30016">
        <w:rPr>
          <w:rFonts w:cs="Times New Roman"/>
          <w:b/>
          <w:bCs/>
          <w:spacing w:val="-9"/>
          <w:w w:val="105"/>
          <w:szCs w:val="26"/>
        </w:rPr>
        <w:t>)</w:t>
      </w:r>
    </w:p>
    <w:p w:rsidR="00BD030C" w:rsidRPr="00A30016" w:rsidRDefault="00BD030C" w:rsidP="00BD030C">
      <w:pPr>
        <w:tabs>
          <w:tab w:val="right" w:pos="720"/>
          <w:tab w:val="right" w:pos="1440"/>
          <w:tab w:val="right" w:pos="2995"/>
        </w:tabs>
        <w:rPr>
          <w:rFonts w:cs="Times New Roman"/>
          <w:b/>
          <w:bCs/>
          <w:spacing w:val="-9"/>
          <w:w w:val="105"/>
          <w:szCs w:val="26"/>
        </w:rPr>
      </w:pP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Defendant</w:t>
      </w:r>
      <w:r w:rsidRPr="00A30016">
        <w:rPr>
          <w:rFonts w:cs="Times New Roman"/>
          <w:b/>
          <w:bCs/>
          <w:spacing w:val="-9"/>
          <w:w w:val="105"/>
          <w:szCs w:val="26"/>
        </w:rPr>
        <w:tab/>
      </w:r>
      <w:r w:rsidRPr="00A30016">
        <w:rPr>
          <w:rFonts w:cs="Times New Roman"/>
          <w:b/>
          <w:bCs/>
          <w:spacing w:val="-9"/>
          <w:w w:val="105"/>
          <w:szCs w:val="26"/>
        </w:rPr>
        <w:tab/>
      </w:r>
      <w:r w:rsidRPr="00A30016">
        <w:rPr>
          <w:rFonts w:cs="Times New Roman"/>
          <w:b/>
          <w:bCs/>
          <w:spacing w:val="-9"/>
          <w:w w:val="105"/>
          <w:szCs w:val="26"/>
        </w:rPr>
        <w:tab/>
        <w:t>)</w:t>
      </w:r>
    </w:p>
    <w:p w:rsidR="00BD030C" w:rsidRPr="00A30016" w:rsidRDefault="00BD030C" w:rsidP="00BD030C">
      <w:pPr>
        <w:tabs>
          <w:tab w:val="right" w:pos="720"/>
          <w:tab w:val="right" w:pos="1440"/>
          <w:tab w:val="right" w:pos="2995"/>
        </w:tabs>
        <w:rPr>
          <w:rFonts w:cs="Times New Roman"/>
          <w:b/>
          <w:bCs/>
          <w:spacing w:val="-9"/>
          <w:w w:val="105"/>
          <w:szCs w:val="26"/>
        </w:rPr>
      </w:pPr>
    </w:p>
    <w:p w:rsidR="00BD030C" w:rsidRPr="00A30016" w:rsidRDefault="00BD030C" w:rsidP="00BD030C">
      <w:pPr>
        <w:ind w:left="-1008" w:right="-994"/>
        <w:rPr>
          <w:rFonts w:cs="Times New Roman"/>
        </w:rPr>
      </w:pPr>
    </w:p>
    <w:p w:rsidR="00BD030C" w:rsidRPr="00A30016" w:rsidRDefault="00BD030C" w:rsidP="00BD030C">
      <w:pPr>
        <w:tabs>
          <w:tab w:val="center" w:pos="4673"/>
          <w:tab w:val="left" w:pos="4752"/>
          <w:tab w:val="left" w:pos="5472"/>
          <w:tab w:val="left" w:pos="6192"/>
          <w:tab w:val="left" w:pos="6912"/>
          <w:tab w:val="left" w:pos="7632"/>
          <w:tab w:val="left" w:pos="8352"/>
          <w:tab w:val="left" w:pos="9072"/>
          <w:tab w:val="left" w:pos="9792"/>
        </w:tabs>
        <w:ind w:left="-1008" w:right="-994"/>
        <w:rPr>
          <w:rFonts w:cs="Times New Roman"/>
        </w:rPr>
      </w:pPr>
      <w:r w:rsidRPr="00A30016">
        <w:rPr>
          <w:rFonts w:cs="Times New Roman"/>
          <w:b/>
          <w:bCs/>
        </w:rPr>
        <w:tab/>
      </w:r>
      <w:r w:rsidRPr="00A30016">
        <w:rPr>
          <w:rFonts w:cs="Times New Roman"/>
          <w:b/>
          <w:bCs/>
          <w:u w:val="single"/>
        </w:rPr>
        <w:t>E X H I B I T S - C O N T I N U E D</w:t>
      </w:r>
    </w:p>
    <w:p w:rsidR="00BD030C" w:rsidRPr="00A30016" w:rsidRDefault="00BD030C" w:rsidP="00BD030C">
      <w:pPr>
        <w:ind w:left="-1008" w:right="-994"/>
        <w:jc w:val="center"/>
        <w:rPr>
          <w:rFonts w:cs="Times New Roman"/>
        </w:rPr>
      </w:pPr>
      <w:r>
        <w:rPr>
          <w:rFonts w:cs="Times New Roman"/>
        </w:rPr>
        <w:t>(page 2 of __)</w:t>
      </w:r>
    </w:p>
    <w:p w:rsidR="00BD030C" w:rsidRPr="00A30016" w:rsidRDefault="00BD030C" w:rsidP="00BD030C">
      <w:pPr>
        <w:ind w:left="-1008" w:right="-994"/>
        <w:rPr>
          <w:rFonts w:cs="Times New Roman"/>
        </w:rPr>
      </w:pPr>
    </w:p>
    <w:tbl>
      <w:tblPr>
        <w:tblW w:w="0" w:type="auto"/>
        <w:tblInd w:w="-869" w:type="dxa"/>
        <w:tblLayout w:type="fixed"/>
        <w:tblCellMar>
          <w:left w:w="139" w:type="dxa"/>
          <w:right w:w="139" w:type="dxa"/>
        </w:tblCellMar>
        <w:tblLook w:val="0000" w:firstRow="0" w:lastRow="0" w:firstColumn="0" w:lastColumn="0" w:noHBand="0" w:noVBand="0"/>
      </w:tblPr>
      <w:tblGrid>
        <w:gridCol w:w="1440"/>
        <w:gridCol w:w="1440"/>
        <w:gridCol w:w="1440"/>
        <w:gridCol w:w="1458"/>
        <w:gridCol w:w="5583"/>
      </w:tblGrid>
      <w:tr w:rsidR="00BD030C" w:rsidRPr="00A30016" w:rsidTr="00ED489E">
        <w:tc>
          <w:tcPr>
            <w:tcW w:w="1440" w:type="dxa"/>
            <w:tcBorders>
              <w:top w:val="double" w:sz="7" w:space="0" w:color="000000"/>
              <w:left w:val="doub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r w:rsidRPr="00A30016">
              <w:rPr>
                <w:rFonts w:cs="Times New Roman"/>
              </w:rPr>
              <w:t>Exhibit</w:t>
            </w:r>
          </w:p>
          <w:p w:rsidR="00BD030C" w:rsidRPr="00A30016" w:rsidRDefault="00BD030C" w:rsidP="00ED489E">
            <w:pPr>
              <w:rPr>
                <w:rFonts w:cs="Times New Roman"/>
              </w:rPr>
            </w:pPr>
            <w:r w:rsidRPr="00A30016">
              <w:rPr>
                <w:rFonts w:cs="Times New Roman"/>
              </w:rPr>
              <w:t>Number</w:t>
            </w:r>
          </w:p>
        </w:tc>
        <w:tc>
          <w:tcPr>
            <w:tcW w:w="1440" w:type="dxa"/>
            <w:tcBorders>
              <w:top w:val="double" w:sz="7" w:space="0" w:color="000000"/>
              <w:left w:val="sing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r w:rsidRPr="00A30016">
              <w:rPr>
                <w:rFonts w:cs="Times New Roman"/>
              </w:rPr>
              <w:t>Action</w:t>
            </w:r>
          </w:p>
          <w:p w:rsidR="00BD030C" w:rsidRPr="00A30016" w:rsidRDefault="00BD030C" w:rsidP="00ED489E">
            <w:pPr>
              <w:rPr>
                <w:rFonts w:cs="Times New Roman"/>
              </w:rPr>
            </w:pPr>
            <w:r w:rsidRPr="00A30016">
              <w:rPr>
                <w:rFonts w:cs="Times New Roman"/>
              </w:rPr>
              <w:t>Taken</w:t>
            </w:r>
          </w:p>
        </w:tc>
        <w:tc>
          <w:tcPr>
            <w:tcW w:w="1440" w:type="dxa"/>
            <w:tcBorders>
              <w:top w:val="double" w:sz="7" w:space="0" w:color="000000"/>
              <w:left w:val="sing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p>
          <w:p w:rsidR="00BD030C" w:rsidRPr="00A30016" w:rsidRDefault="00BD030C" w:rsidP="00ED489E">
            <w:pPr>
              <w:rPr>
                <w:rFonts w:cs="Times New Roman"/>
              </w:rPr>
            </w:pPr>
            <w:r w:rsidRPr="00A30016">
              <w:rPr>
                <w:rFonts w:cs="Times New Roman"/>
              </w:rPr>
              <w:t>Date</w:t>
            </w:r>
          </w:p>
        </w:tc>
        <w:tc>
          <w:tcPr>
            <w:tcW w:w="1458" w:type="dxa"/>
            <w:tcBorders>
              <w:top w:val="double" w:sz="7" w:space="0" w:color="000000"/>
              <w:left w:val="single" w:sz="7" w:space="0" w:color="000000"/>
              <w:bottom w:val="single" w:sz="6" w:space="0" w:color="FFFFFF"/>
              <w:right w:val="single" w:sz="6" w:space="0" w:color="FFFFFF"/>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p>
          <w:p w:rsidR="00BD030C" w:rsidRPr="00A30016" w:rsidRDefault="00BD030C" w:rsidP="00ED489E">
            <w:pPr>
              <w:rPr>
                <w:rFonts w:cs="Times New Roman"/>
              </w:rPr>
            </w:pPr>
            <w:r w:rsidRPr="00A30016">
              <w:rPr>
                <w:rFonts w:cs="Times New Roman"/>
              </w:rPr>
              <w:t>Time</w:t>
            </w:r>
          </w:p>
        </w:tc>
        <w:tc>
          <w:tcPr>
            <w:tcW w:w="5583" w:type="dxa"/>
            <w:tcBorders>
              <w:top w:val="double" w:sz="7" w:space="0" w:color="000000"/>
              <w:left w:val="single" w:sz="7" w:space="0" w:color="000000"/>
              <w:bottom w:val="single" w:sz="6" w:space="0" w:color="FFFFFF"/>
              <w:right w:val="double" w:sz="7" w:space="0" w:color="000000"/>
            </w:tcBorders>
          </w:tcPr>
          <w:p w:rsidR="00BD030C" w:rsidRPr="00A30016" w:rsidRDefault="00BD030C" w:rsidP="00ED489E">
            <w:pPr>
              <w:spacing w:line="201" w:lineRule="exact"/>
              <w:rPr>
                <w:rFonts w:cs="Times New Roman"/>
              </w:rPr>
            </w:pPr>
          </w:p>
          <w:p w:rsidR="00BD030C" w:rsidRPr="00A30016" w:rsidRDefault="00BD030C" w:rsidP="00ED489E">
            <w:pPr>
              <w:rPr>
                <w:rFonts w:cs="Times New Roman"/>
              </w:rPr>
            </w:pPr>
          </w:p>
          <w:p w:rsidR="00BD030C" w:rsidRPr="00A30016" w:rsidRDefault="00BD030C" w:rsidP="00ED489E">
            <w:pPr>
              <w:rPr>
                <w:rFonts w:cs="Times New Roman"/>
              </w:rPr>
            </w:pPr>
            <w:r w:rsidRPr="00A30016">
              <w:rPr>
                <w:rFonts w:cs="Times New Roman"/>
              </w:rPr>
              <w:t>Description</w:t>
            </w: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40"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1458" w:type="dxa"/>
            <w:tcBorders>
              <w:top w:val="single" w:sz="7" w:space="0" w:color="000000"/>
              <w:left w:val="single" w:sz="7" w:space="0" w:color="000000"/>
              <w:bottom w:val="single" w:sz="6" w:space="0" w:color="FFFFFF"/>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c>
          <w:tcPr>
            <w:tcW w:w="5583" w:type="dxa"/>
            <w:tcBorders>
              <w:top w:val="single" w:sz="7" w:space="0" w:color="000000"/>
              <w:left w:val="single" w:sz="7" w:space="0" w:color="000000"/>
              <w:bottom w:val="single" w:sz="6" w:space="0" w:color="FFFFFF"/>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rPr>
                <w:rFonts w:cs="Times New Roman"/>
              </w:rPr>
            </w:pPr>
          </w:p>
        </w:tc>
      </w:tr>
      <w:tr w:rsidR="00BD030C" w:rsidRPr="00A30016" w:rsidTr="00ED489E">
        <w:tc>
          <w:tcPr>
            <w:tcW w:w="1440" w:type="dxa"/>
            <w:tcBorders>
              <w:top w:val="single" w:sz="7" w:space="0" w:color="000000"/>
              <w:left w:val="double" w:sz="7" w:space="0" w:color="000000"/>
              <w:bottom w:val="double" w:sz="7" w:space="0" w:color="000000"/>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spacing w:after="58"/>
              <w:rPr>
                <w:rFonts w:cs="Times New Roman"/>
              </w:rPr>
            </w:pPr>
          </w:p>
        </w:tc>
        <w:tc>
          <w:tcPr>
            <w:tcW w:w="1440" w:type="dxa"/>
            <w:tcBorders>
              <w:top w:val="single" w:sz="7" w:space="0" w:color="000000"/>
              <w:left w:val="single" w:sz="7" w:space="0" w:color="000000"/>
              <w:bottom w:val="double" w:sz="7" w:space="0" w:color="000000"/>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spacing w:after="58"/>
              <w:rPr>
                <w:rFonts w:cs="Times New Roman"/>
              </w:rPr>
            </w:pPr>
          </w:p>
        </w:tc>
        <w:tc>
          <w:tcPr>
            <w:tcW w:w="1440" w:type="dxa"/>
            <w:tcBorders>
              <w:top w:val="single" w:sz="7" w:space="0" w:color="000000"/>
              <w:left w:val="single" w:sz="7" w:space="0" w:color="000000"/>
              <w:bottom w:val="double" w:sz="7" w:space="0" w:color="000000"/>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spacing w:after="58"/>
              <w:rPr>
                <w:rFonts w:cs="Times New Roman"/>
              </w:rPr>
            </w:pPr>
          </w:p>
        </w:tc>
        <w:tc>
          <w:tcPr>
            <w:tcW w:w="1458" w:type="dxa"/>
            <w:tcBorders>
              <w:top w:val="single" w:sz="7" w:space="0" w:color="000000"/>
              <w:left w:val="single" w:sz="7" w:space="0" w:color="000000"/>
              <w:bottom w:val="double" w:sz="7" w:space="0" w:color="000000"/>
              <w:right w:val="single" w:sz="6" w:space="0" w:color="FFFFFF"/>
            </w:tcBorders>
          </w:tcPr>
          <w:p w:rsidR="00BD030C" w:rsidRPr="00A30016" w:rsidRDefault="00BD030C" w:rsidP="00ED489E">
            <w:pPr>
              <w:spacing w:line="163" w:lineRule="exact"/>
              <w:rPr>
                <w:rFonts w:cs="Times New Roman"/>
              </w:rPr>
            </w:pPr>
          </w:p>
          <w:p w:rsidR="00BD030C" w:rsidRPr="00A30016" w:rsidRDefault="00BD030C" w:rsidP="00ED489E">
            <w:pPr>
              <w:spacing w:after="58"/>
              <w:rPr>
                <w:rFonts w:cs="Times New Roman"/>
              </w:rPr>
            </w:pPr>
          </w:p>
        </w:tc>
        <w:tc>
          <w:tcPr>
            <w:tcW w:w="5583" w:type="dxa"/>
            <w:tcBorders>
              <w:top w:val="single" w:sz="7" w:space="0" w:color="000000"/>
              <w:left w:val="single" w:sz="7" w:space="0" w:color="000000"/>
              <w:bottom w:val="double" w:sz="7" w:space="0" w:color="000000"/>
              <w:right w:val="double" w:sz="7" w:space="0" w:color="000000"/>
            </w:tcBorders>
          </w:tcPr>
          <w:p w:rsidR="00BD030C" w:rsidRPr="00A30016" w:rsidRDefault="00BD030C" w:rsidP="00ED489E">
            <w:pPr>
              <w:spacing w:line="163" w:lineRule="exact"/>
              <w:rPr>
                <w:rFonts w:cs="Times New Roman"/>
              </w:rPr>
            </w:pPr>
          </w:p>
          <w:p w:rsidR="00BD030C" w:rsidRPr="00A30016" w:rsidRDefault="00BD030C" w:rsidP="00ED489E">
            <w:pPr>
              <w:spacing w:after="58"/>
              <w:rPr>
                <w:rFonts w:cs="Times New Roman"/>
              </w:rPr>
            </w:pPr>
          </w:p>
        </w:tc>
      </w:tr>
    </w:tbl>
    <w:p w:rsidR="00BD030C" w:rsidRPr="002A02D1" w:rsidRDefault="00BD030C" w:rsidP="00BD030C">
      <w:pPr>
        <w:autoSpaceDE w:val="0"/>
        <w:autoSpaceDN w:val="0"/>
        <w:adjustRightInd w:val="0"/>
        <w:rPr>
          <w:rFonts w:cs="Times New Roman"/>
          <w:szCs w:val="26"/>
        </w:rPr>
      </w:pPr>
    </w:p>
    <w:p w:rsidR="00667E47" w:rsidRPr="00BD030C" w:rsidRDefault="00667E47" w:rsidP="00BD030C"/>
    <w:sectPr w:rsidR="00667E47" w:rsidRPr="00BD030C" w:rsidSect="009B6E50">
      <w:headerReference w:type="default" r:id="rId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1A51C8" w:rsidRDefault="006C54C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p w:rsidR="001A51C8" w:rsidRDefault="006C5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83E87"/>
    <w:multiLevelType w:val="hybridMultilevel"/>
    <w:tmpl w:val="722A4DA4"/>
    <w:lvl w:ilvl="0" w:tplc="F4DAD178">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86B9A"/>
    <w:multiLevelType w:val="hybridMultilevel"/>
    <w:tmpl w:val="D6CCD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074A8"/>
    <w:multiLevelType w:val="hybridMultilevel"/>
    <w:tmpl w:val="34ECC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164DD3"/>
    <w:multiLevelType w:val="hybridMultilevel"/>
    <w:tmpl w:val="B20E3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57B6C"/>
    <w:multiLevelType w:val="hybridMultilevel"/>
    <w:tmpl w:val="B20E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3687C"/>
    <w:multiLevelType w:val="hybridMultilevel"/>
    <w:tmpl w:val="B20E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DC0FDF"/>
    <w:multiLevelType w:val="hybridMultilevel"/>
    <w:tmpl w:val="B20E3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388ABD6-AF98-476A-A81B-DDF97ECDAE32}"/>
    <w:docVar w:name="dgnword-eventsink" w:val="68970920"/>
  </w:docVars>
  <w:rsids>
    <w:rsidRoot w:val="001B4495"/>
    <w:rsid w:val="000462B8"/>
    <w:rsid w:val="000A0484"/>
    <w:rsid w:val="000C3CFA"/>
    <w:rsid w:val="000D60EB"/>
    <w:rsid w:val="000F10A4"/>
    <w:rsid w:val="0016689E"/>
    <w:rsid w:val="001B1DFE"/>
    <w:rsid w:val="001B4495"/>
    <w:rsid w:val="001E715F"/>
    <w:rsid w:val="0020074E"/>
    <w:rsid w:val="00205F71"/>
    <w:rsid w:val="002129D1"/>
    <w:rsid w:val="002416F6"/>
    <w:rsid w:val="00246E9E"/>
    <w:rsid w:val="00283729"/>
    <w:rsid w:val="0028388C"/>
    <w:rsid w:val="002973BA"/>
    <w:rsid w:val="002A02D1"/>
    <w:rsid w:val="002B2205"/>
    <w:rsid w:val="002B42F4"/>
    <w:rsid w:val="002B7B4A"/>
    <w:rsid w:val="00351611"/>
    <w:rsid w:val="0039502A"/>
    <w:rsid w:val="003C3668"/>
    <w:rsid w:val="003E3BC2"/>
    <w:rsid w:val="003E5557"/>
    <w:rsid w:val="003F0AE1"/>
    <w:rsid w:val="00457621"/>
    <w:rsid w:val="00463D09"/>
    <w:rsid w:val="00487BE8"/>
    <w:rsid w:val="00491156"/>
    <w:rsid w:val="004970AD"/>
    <w:rsid w:val="004D4A3A"/>
    <w:rsid w:val="004D58D9"/>
    <w:rsid w:val="004E2D9A"/>
    <w:rsid w:val="00512E20"/>
    <w:rsid w:val="00571A27"/>
    <w:rsid w:val="005F20AB"/>
    <w:rsid w:val="006211FC"/>
    <w:rsid w:val="00621BF5"/>
    <w:rsid w:val="00623AA9"/>
    <w:rsid w:val="0064330B"/>
    <w:rsid w:val="00666E0B"/>
    <w:rsid w:val="00667E47"/>
    <w:rsid w:val="006800C0"/>
    <w:rsid w:val="006A5A51"/>
    <w:rsid w:val="006C4A1B"/>
    <w:rsid w:val="006C54C0"/>
    <w:rsid w:val="006C5724"/>
    <w:rsid w:val="007722EB"/>
    <w:rsid w:val="007A6E7D"/>
    <w:rsid w:val="007C79E5"/>
    <w:rsid w:val="007F28AA"/>
    <w:rsid w:val="00895043"/>
    <w:rsid w:val="008967F5"/>
    <w:rsid w:val="008A7E77"/>
    <w:rsid w:val="008C472A"/>
    <w:rsid w:val="008C5C5D"/>
    <w:rsid w:val="009305D7"/>
    <w:rsid w:val="00945593"/>
    <w:rsid w:val="00972185"/>
    <w:rsid w:val="009E5B08"/>
    <w:rsid w:val="009E72AD"/>
    <w:rsid w:val="00A20B38"/>
    <w:rsid w:val="00A212C0"/>
    <w:rsid w:val="00A2771E"/>
    <w:rsid w:val="00A50018"/>
    <w:rsid w:val="00A531A7"/>
    <w:rsid w:val="00AD3163"/>
    <w:rsid w:val="00B12A62"/>
    <w:rsid w:val="00B975A4"/>
    <w:rsid w:val="00BD030C"/>
    <w:rsid w:val="00BF5BF1"/>
    <w:rsid w:val="00C17E17"/>
    <w:rsid w:val="00C24837"/>
    <w:rsid w:val="00C86DDE"/>
    <w:rsid w:val="00CB19D9"/>
    <w:rsid w:val="00CD2464"/>
    <w:rsid w:val="00CF69FD"/>
    <w:rsid w:val="00D1550D"/>
    <w:rsid w:val="00D626A8"/>
    <w:rsid w:val="00D63015"/>
    <w:rsid w:val="00D93E76"/>
    <w:rsid w:val="00DA2583"/>
    <w:rsid w:val="00DB1D53"/>
    <w:rsid w:val="00DC09BF"/>
    <w:rsid w:val="00DF41CE"/>
    <w:rsid w:val="00E03CF5"/>
    <w:rsid w:val="00E21DA9"/>
    <w:rsid w:val="00EF2F77"/>
    <w:rsid w:val="00F00E32"/>
    <w:rsid w:val="00F07068"/>
    <w:rsid w:val="00F1665C"/>
    <w:rsid w:val="00F40C72"/>
    <w:rsid w:val="00F6335B"/>
    <w:rsid w:val="00FA0625"/>
    <w:rsid w:val="00FB517F"/>
    <w:rsid w:val="00FB71B5"/>
    <w:rsid w:val="00FB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7AE4D2-22DD-469F-8878-4577B350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495"/>
    <w:pPr>
      <w:ind w:left="720"/>
      <w:contextualSpacing/>
    </w:pPr>
  </w:style>
  <w:style w:type="character" w:styleId="Hyperlink">
    <w:name w:val="Hyperlink"/>
    <w:basedOn w:val="DefaultParagraphFont"/>
    <w:uiPriority w:val="99"/>
    <w:unhideWhenUsed/>
    <w:rsid w:val="00667E47"/>
    <w:rPr>
      <w:color w:val="0000FF" w:themeColor="hyperlink"/>
      <w:u w:val="single"/>
    </w:rPr>
  </w:style>
  <w:style w:type="paragraph" w:styleId="Header">
    <w:name w:val="header"/>
    <w:basedOn w:val="Normal"/>
    <w:link w:val="HeaderChar"/>
    <w:uiPriority w:val="99"/>
    <w:unhideWhenUsed/>
    <w:rsid w:val="00BD030C"/>
    <w:pPr>
      <w:tabs>
        <w:tab w:val="center" w:pos="4680"/>
        <w:tab w:val="right" w:pos="9360"/>
      </w:tabs>
    </w:pPr>
  </w:style>
  <w:style w:type="character" w:customStyle="1" w:styleId="HeaderChar">
    <w:name w:val="Header Char"/>
    <w:basedOn w:val="DefaultParagraphFont"/>
    <w:link w:val="Header"/>
    <w:uiPriority w:val="99"/>
    <w:rsid w:val="00BD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4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ourts.jocogov.org/local_index.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8A79D-EDDA-4508-AA57-630FFD4C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Michael, DCA</cp:lastModifiedBy>
  <cp:revision>15</cp:revision>
  <dcterms:created xsi:type="dcterms:W3CDTF">2018-12-10T13:45:00Z</dcterms:created>
  <dcterms:modified xsi:type="dcterms:W3CDTF">2018-12-10T14:11:00Z</dcterms:modified>
</cp:coreProperties>
</file>